
<file path=[Content_Types].xml><?xml version="1.0" encoding="utf-8"?>
<Types xmlns="http://schemas.openxmlformats.org/package/2006/content-types">
  <Default Extension="xml" ContentType="application/xml"/>
  <Default Extension="jpeg" ContentType="image/jpeg"/>
  <Default Extension="JPG" ContentType="image/.jpg"/>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点击此处添加ICS号</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点击此处添加CCS号</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pPr>
              <w:pStyle w:val="49"/>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6</w:t>
            </w:r>
            <w:r>
              <w:rPr>
                <w:rFonts w:hint="eastAsia"/>
                <w:lang w:val="en-US" w:eastAsia="zh-CN"/>
              </w:rPr>
              <w:t>540</w:t>
            </w:r>
            <w:r>
              <w:fldChar w:fldCharType="end"/>
            </w:r>
            <w:bookmarkEnd w:id="3"/>
          </w:p>
        </w:tc>
      </w:tr>
    </w:tbl>
    <w:p>
      <w:pPr>
        <w:pStyle w:val="50"/>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lang w:eastAsia="zh-CN"/>
        </w:rPr>
        <w:t xml:space="preserve"> 伊犁哈萨克自治州</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pPr>
        <w:pStyle w:val="195"/>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65</w:t>
      </w:r>
      <w:r>
        <w:rPr>
          <w:rFonts w:hint="eastAsia"/>
          <w:lang w:val="en-US" w:eastAsia="zh-CN"/>
        </w:rPr>
        <w:t>40</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en-US" w:eastAsia="zh-CN"/>
        </w:rPr>
        <w:t>2023</w:t>
      </w:r>
      <w:r>
        <w:fldChar w:fldCharType="end"/>
      </w:r>
      <w:bookmarkEnd w:id="7"/>
    </w:p>
    <w:p>
      <w:pPr>
        <w:pStyle w:val="196"/>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ascii="黑体" w:hAnsi="黑体" w:eastAsia="黑体"/>
          <w:b w:val="0"/>
          <w:bCs w:val="0"/>
          <w:w w:val="100"/>
        </w:rPr>
      </w:pPr>
    </w:p>
    <w:p>
      <w:pPr>
        <w:pStyle w:val="197"/>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t>伊犁山花蜂蜜生产技术规范</w:t>
      </w:r>
      <w:r>
        <w:fldChar w:fldCharType="end"/>
      </w:r>
      <w:bookmarkEnd w:id="9"/>
    </w:p>
    <w:p>
      <w:pPr>
        <w:framePr w:w="9639" w:h="6974" w:hRule="exact" w:wrap="around" w:vAnchor="page" w:hAnchor="page" w:x="1419" w:y="6408" w:anchorLock="1"/>
        <w:ind w:left="-1418"/>
      </w:pPr>
    </w:p>
    <w:p>
      <w:pPr>
        <w:pStyle w:val="125"/>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Yili Pediment Honey Production Technology Regulations</w:t>
      </w:r>
    </w:p>
    <w:p>
      <w:pPr>
        <w:pStyle w:val="125"/>
        <w:framePr w:w="9639" w:h="6974" w:hRule="exact" w:wrap="around" w:vAnchor="page" w:hAnchor="page" w:x="1419" w:y="6408" w:anchorLock="1"/>
        <w:textAlignment w:val="bottom"/>
        <w:rPr>
          <w:rFonts w:eastAsia="黑体"/>
          <w:szCs w:val="28"/>
        </w:rPr>
      </w:pPr>
      <w:r>
        <w:rPr>
          <w:rFonts w:hint="eastAsia" w:eastAsia="黑体"/>
          <w:szCs w:val="28"/>
          <w:lang w:eastAsia="zh-CN"/>
        </w:rPr>
        <w:t>（征求意见稿）</w:t>
      </w:r>
      <w:r>
        <w:rPr>
          <w:rFonts w:eastAsia="黑体"/>
          <w:szCs w:val="28"/>
        </w:rPr>
        <w:fldChar w:fldCharType="end"/>
      </w:r>
      <w:bookmarkEnd w:id="10"/>
    </w:p>
    <w:p>
      <w:pPr>
        <w:framePr w:w="9639" w:h="6974" w:hRule="exact" w:wrap="around" w:vAnchor="page" w:hAnchor="page" w:x="1419" w:y="6408" w:anchorLock="1"/>
        <w:spacing w:line="760" w:lineRule="exact"/>
        <w:ind w:left="-1418"/>
      </w:pPr>
    </w:p>
    <w:p>
      <w:pPr>
        <w:pStyle w:val="125"/>
        <w:framePr w:w="9639" w:h="6974" w:hRule="exact" w:wrap="around" w:vAnchor="page" w:hAnchor="page" w:x="1419" w:y="6408" w:anchorLock="1"/>
        <w:textAlignment w:val="bottom"/>
        <w:rPr>
          <w:rFonts w:eastAsia="黑体"/>
          <w:szCs w:val="28"/>
        </w:rPr>
      </w:pPr>
    </w:p>
    <w:p>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bookmarkStart w:id="238" w:name="_GoBack"/>
      <w:bookmarkEnd w:id="238"/>
      <w:r>
        <w:rPr>
          <w:sz w:val="21"/>
          <w:szCs w:val="28"/>
        </w:rPr>
        <w:t>     </w:t>
      </w:r>
      <w:r>
        <w:rPr>
          <w:sz w:val="21"/>
          <w:szCs w:val="28"/>
        </w:rPr>
        <w:fldChar w:fldCharType="end"/>
      </w:r>
      <w:bookmarkEnd w:id="12"/>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pPr>
        <w:pStyle w:val="193"/>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023</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eastAsia="zh-CN"/>
        </w:rPr>
        <w:t>2</w:t>
      </w:r>
      <w:r>
        <w:rPr>
          <w:rFonts w:hint="eastAsia" w:ascii="黑体"/>
          <w:lang w:val="en-US" w:eastAsia="zh-CN"/>
        </w:rPr>
        <w:t>023</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pPr>
        <w:pStyle w:val="15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lang w:eastAsia="zh-CN"/>
        </w:rPr>
        <w:t>伊犁哈萨克自治州</w:t>
      </w:r>
      <w:r>
        <w:rPr>
          <w:rFonts w:hint="eastAsia" w:hAnsi="黑体"/>
          <w:w w:val="100"/>
          <w:sz w:val="28"/>
        </w:rPr>
        <w:t>市场监督管理局</w:t>
      </w:r>
      <w:r>
        <w:rPr>
          <w:rFonts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pPr>
        <w:pStyle w:val="91"/>
        <w:spacing w:after="468"/>
        <w:rPr>
          <w:rFonts w:hint="eastAsia"/>
        </w:rPr>
      </w:pPr>
      <w:bookmarkStart w:id="21" w:name="BookMark1"/>
      <w:bookmarkStart w:id="22" w:name="_Toc94309643"/>
      <w:bookmarkStart w:id="23" w:name="_Toc94319143"/>
      <w:bookmarkStart w:id="24" w:name="_Toc94319103"/>
      <w:bookmarkStart w:id="25" w:name="_Toc94319311"/>
      <w:bookmarkStart w:id="26" w:name="_Toc94321318"/>
      <w:r>
        <w:rPr>
          <w:rFonts w:hint="eastAsia"/>
          <w:spacing w:val="320"/>
        </w:rPr>
        <w:t>目</w:t>
      </w:r>
      <w:r>
        <w:rPr>
          <w:rFonts w:hint="eastAsia"/>
        </w:rPr>
        <w:t>次</w:t>
      </w:r>
    </w:p>
    <w:p>
      <w:pPr>
        <w:pStyle w:val="19"/>
        <w:tabs>
          <w:tab w:val="right" w:leader="dot" w:pos="9344"/>
        </w:tabs>
        <w:rPr>
          <w:rFonts w:asciiTheme="minorHAnsi" w:hAnsiTheme="minorHAnsi" w:eastAsiaTheme="minorEastAsia" w:cstheme="minorBidi"/>
          <w:szCs w:val="22"/>
        </w:rPr>
      </w:pPr>
      <w:r>
        <w:fldChar w:fldCharType="begin"/>
      </w:r>
      <w:r>
        <w:instrText xml:space="preserve"> TOC \o "1-1" \h </w:instrText>
      </w:r>
      <w:r>
        <w:fldChar w:fldCharType="separate"/>
      </w:r>
      <w:r>
        <w:fldChar w:fldCharType="begin"/>
      </w:r>
      <w:r>
        <w:instrText xml:space="preserve"> HYPERLINK \l "_Toc94321617" </w:instrText>
      </w:r>
      <w:r>
        <w:fldChar w:fldCharType="separate"/>
      </w:r>
      <w:r>
        <w:rPr>
          <w:rStyle w:val="32"/>
        </w:rPr>
        <w:t>前言</w:t>
      </w:r>
      <w:r>
        <w:tab/>
      </w:r>
      <w:r>
        <w:fldChar w:fldCharType="begin"/>
      </w:r>
      <w:r>
        <w:instrText xml:space="preserve"> PAGEREF _Toc94321617 \h </w:instrText>
      </w:r>
      <w:r>
        <w:fldChar w:fldCharType="separate"/>
      </w:r>
      <w:r>
        <w:t>II</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"_Toc94321618" </w:instrText>
      </w:r>
      <w:r>
        <w:fldChar w:fldCharType="separate"/>
      </w:r>
      <w:r>
        <w:rPr>
          <w:rStyle w:val="32"/>
        </w:rPr>
        <w:t>1  范围</w:t>
      </w:r>
      <w:r>
        <w:tab/>
      </w:r>
      <w:r>
        <w:fldChar w:fldCharType="begin"/>
      </w:r>
      <w:r>
        <w:instrText xml:space="preserve"> PAGEREF _Toc94321618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"_Toc94321619" </w:instrText>
      </w:r>
      <w:r>
        <w:fldChar w:fldCharType="separate"/>
      </w:r>
      <w:r>
        <w:rPr>
          <w:rStyle w:val="32"/>
        </w:rPr>
        <w:t>2  规范性引用文件</w:t>
      </w:r>
      <w:r>
        <w:tab/>
      </w:r>
      <w:r>
        <w:fldChar w:fldCharType="begin"/>
      </w:r>
      <w:r>
        <w:instrText xml:space="preserve"> PAGEREF _Toc94321619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"_Toc94321620" </w:instrText>
      </w:r>
      <w:r>
        <w:fldChar w:fldCharType="separate"/>
      </w:r>
      <w:r>
        <w:rPr>
          <w:rStyle w:val="32"/>
        </w:rPr>
        <w:t>3  术语和定义</w:t>
      </w:r>
      <w:r>
        <w:tab/>
      </w:r>
      <w:r>
        <w:fldChar w:fldCharType="begin"/>
      </w:r>
      <w:r>
        <w:instrText xml:space="preserve"> PAGEREF _Toc94321620 \h </w:instrText>
      </w:r>
      <w:r>
        <w:fldChar w:fldCharType="separate"/>
      </w:r>
      <w:r>
        <w:t>1</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"_Toc94321621" </w:instrText>
      </w:r>
      <w:r>
        <w:fldChar w:fldCharType="separate"/>
      </w:r>
      <w:r>
        <w:rPr>
          <w:rStyle w:val="32"/>
        </w:rPr>
        <w:t>4  生产条件</w:t>
      </w:r>
      <w:r>
        <w:tab/>
      </w:r>
      <w:r>
        <w:fldChar w:fldCharType="begin"/>
      </w:r>
      <w:r>
        <w:instrText xml:space="preserve"> PAGEREF _Toc94321621 \h </w:instrText>
      </w:r>
      <w:r>
        <w:fldChar w:fldCharType="separate"/>
      </w:r>
      <w:r>
        <w:t>2</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"_Toc94321622" </w:instrText>
      </w:r>
      <w:r>
        <w:fldChar w:fldCharType="separate"/>
      </w:r>
      <w:r>
        <w:rPr>
          <w:rStyle w:val="32"/>
        </w:rPr>
        <w:t>5  培育适龄采集蜂</w:t>
      </w:r>
      <w:r>
        <w:tab/>
      </w:r>
      <w:r>
        <w:fldChar w:fldCharType="begin"/>
      </w:r>
      <w:r>
        <w:instrText xml:space="preserve"> PAGEREF _Toc94321622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"_Toc94321623" </w:instrText>
      </w:r>
      <w:r>
        <w:fldChar w:fldCharType="separate"/>
      </w:r>
      <w:r>
        <w:rPr>
          <w:rStyle w:val="32"/>
        </w:rPr>
        <w:t>6  生产期蜂群管理</w:t>
      </w:r>
      <w:r>
        <w:tab/>
      </w:r>
      <w:r>
        <w:fldChar w:fldCharType="begin"/>
      </w:r>
      <w:r>
        <w:instrText xml:space="preserve"> PAGEREF _Toc94321623 \h </w:instrText>
      </w:r>
      <w:r>
        <w:fldChar w:fldCharType="separate"/>
      </w:r>
      <w:r>
        <w:t>3</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"_Toc94321624" </w:instrText>
      </w:r>
      <w:r>
        <w:fldChar w:fldCharType="separate"/>
      </w:r>
      <w:r>
        <w:rPr>
          <w:rStyle w:val="32"/>
        </w:rPr>
        <w:t>7  蜂蜜采收要求</w:t>
      </w:r>
      <w:r>
        <w:tab/>
      </w:r>
      <w:r>
        <w:fldChar w:fldCharType="begin"/>
      </w:r>
      <w:r>
        <w:instrText xml:space="preserve"> PAGEREF _Toc94321624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"_Toc94321625" </w:instrText>
      </w:r>
      <w:r>
        <w:fldChar w:fldCharType="separate"/>
      </w:r>
      <w:r>
        <w:rPr>
          <w:rStyle w:val="32"/>
        </w:rPr>
        <w:t>8  取蜜前的准备</w:t>
      </w:r>
      <w:r>
        <w:tab/>
      </w:r>
      <w:r>
        <w:fldChar w:fldCharType="begin"/>
      </w:r>
      <w:r>
        <w:instrText xml:space="preserve"> PAGEREF _Toc94321625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"_Toc94321626" </w:instrText>
      </w:r>
      <w:r>
        <w:fldChar w:fldCharType="separate"/>
      </w:r>
      <w:r>
        <w:rPr>
          <w:rStyle w:val="32"/>
        </w:rPr>
        <w:t>9  取蜜</w:t>
      </w:r>
      <w:r>
        <w:tab/>
      </w:r>
      <w:r>
        <w:fldChar w:fldCharType="begin"/>
      </w:r>
      <w:r>
        <w:instrText xml:space="preserve"> PAGEREF _Toc94321626 \h </w:instrText>
      </w:r>
      <w:r>
        <w:fldChar w:fldCharType="separate"/>
      </w:r>
      <w:r>
        <w:t>4</w:t>
      </w:r>
      <w:r>
        <w:fldChar w:fldCharType="end"/>
      </w:r>
      <w:r>
        <w:fldChar w:fldCharType="end"/>
      </w:r>
    </w:p>
    <w:p>
      <w:pPr>
        <w:pStyle w:val="19"/>
        <w:tabs>
          <w:tab w:val="right" w:leader="dot" w:pos="9344"/>
        </w:tabs>
        <w:rPr>
          <w:rFonts w:asciiTheme="minorHAnsi" w:hAnsiTheme="minorHAnsi" w:eastAsiaTheme="minorEastAsia" w:cstheme="minorBidi"/>
          <w:szCs w:val="22"/>
        </w:rPr>
      </w:pPr>
      <w:r>
        <w:fldChar w:fldCharType="begin"/>
      </w:r>
      <w:r>
        <w:instrText xml:space="preserve"> HYPERLINK \l "_Toc94321627" </w:instrText>
      </w:r>
      <w:r>
        <w:fldChar w:fldCharType="separate"/>
      </w:r>
      <w:r>
        <w:rPr>
          <w:rStyle w:val="32"/>
        </w:rPr>
        <w:t>10  包装贮存运输</w:t>
      </w:r>
      <w:r>
        <w:tab/>
      </w:r>
      <w:r>
        <w:fldChar w:fldCharType="begin"/>
      </w:r>
      <w:r>
        <w:instrText xml:space="preserve"> PAGEREF _Toc94321627 \h </w:instrText>
      </w:r>
      <w:r>
        <w:fldChar w:fldCharType="separate"/>
      </w:r>
      <w:r>
        <w:t>5</w:t>
      </w:r>
      <w:r>
        <w:fldChar w:fldCharType="end"/>
      </w:r>
      <w:r>
        <w:fldChar w:fldCharType="end"/>
      </w:r>
    </w:p>
    <w:p>
      <w:pPr>
        <w:pStyle w:val="91"/>
        <w:spacing w:after="468"/>
        <w:sectPr>
          <w:headerReference r:id="rId11" w:type="default"/>
          <w:footerReference r:id="rId13" w:type="default"/>
          <w:headerReference r:id="rId12" w:type="even"/>
          <w:pgSz w:w="11906" w:h="16838"/>
          <w:pgMar w:top="2410" w:right="1134" w:bottom="1134" w:left="1134" w:header="1418" w:footer="1134" w:gutter="284"/>
          <w:pgNumType w:fmt="upperRoman" w:start="1"/>
          <w:cols w:space="425" w:num="1"/>
          <w:formProt w:val="0"/>
          <w:docGrid w:type="lines" w:linePitch="312" w:charSpace="0"/>
        </w:sectPr>
      </w:pPr>
      <w:r>
        <w:fldChar w:fldCharType="end"/>
      </w:r>
    </w:p>
    <w:bookmarkEnd w:id="21"/>
    <w:p>
      <w:pPr>
        <w:pStyle w:val="89"/>
        <w:spacing w:after="468"/>
      </w:pPr>
      <w:bookmarkStart w:id="27" w:name="_Toc94321617"/>
      <w:bookmarkStart w:id="28" w:name="BookMark2"/>
      <w:r>
        <w:rPr>
          <w:spacing w:val="320"/>
        </w:rPr>
        <w:t>前</w:t>
      </w:r>
      <w:r>
        <w:t>言</w:t>
      </w:r>
      <w:bookmarkEnd w:id="22"/>
      <w:bookmarkEnd w:id="23"/>
      <w:bookmarkEnd w:id="24"/>
      <w:bookmarkEnd w:id="25"/>
      <w:bookmarkEnd w:id="26"/>
      <w:bookmarkEnd w:id="27"/>
    </w:p>
    <w:p>
      <w:pPr>
        <w:pStyle w:val="56"/>
        <w:ind w:firstLine="420"/>
      </w:pPr>
      <w:r>
        <w:rPr>
          <w:rFonts w:hint="eastAsia"/>
        </w:rPr>
        <w:t>本文件按照GB/T 1.1—2020《标准化工作导则  第1部分：标准化文件的结构和起草规则》的规定起草。</w:t>
      </w:r>
    </w:p>
    <w:p>
      <w:pPr>
        <w:pStyle w:val="56"/>
        <w:ind w:firstLine="420"/>
      </w:pPr>
      <w:r>
        <w:rPr>
          <w:rFonts w:hint="eastAsia"/>
        </w:rPr>
        <w:t>本文件由新疆维吾尔自治区蜂业技术指导站提出。</w:t>
      </w:r>
    </w:p>
    <w:p>
      <w:pPr>
        <w:pStyle w:val="56"/>
        <w:ind w:firstLine="420"/>
      </w:pPr>
      <w:r>
        <w:rPr>
          <w:rFonts w:hint="eastAsia"/>
        </w:rPr>
        <w:t>本文件由新疆维吾尔自治区农业农村厅归口。</w:t>
      </w:r>
    </w:p>
    <w:p>
      <w:pPr>
        <w:pStyle w:val="56"/>
        <w:ind w:firstLine="420"/>
      </w:pPr>
      <w:r>
        <w:rPr>
          <w:rFonts w:hint="eastAsia"/>
        </w:rPr>
        <w:t>本文件起草单位：新疆维吾尔自治区蜂业技术指导站、国家蜂产业技术体系乌鲁木齐综合试验站</w:t>
      </w:r>
    </w:p>
    <w:p>
      <w:pPr>
        <w:pStyle w:val="56"/>
        <w:ind w:firstLine="420"/>
      </w:pPr>
      <w:r>
        <w:rPr>
          <w:rFonts w:hint="eastAsia"/>
        </w:rPr>
        <w:t>本文件主要起草人：陈宝新、胡彦召、阿布力克木·阿不都克里木、史秀丽、袁豆豆、牟莹莹、叶力波利·达吾力、刘天奇、张兆银</w:t>
      </w:r>
    </w:p>
    <w:p>
      <w:pPr>
        <w:pStyle w:val="56"/>
        <w:ind w:firstLine="420"/>
      </w:pPr>
    </w:p>
    <w:p>
      <w:pPr>
        <w:pStyle w:val="56"/>
        <w:ind w:firstLine="420"/>
        <w:sectPr>
          <w:pgSz w:w="11906" w:h="16838"/>
          <w:pgMar w:top="2410" w:right="1134" w:bottom="1134" w:left="1134" w:header="1418" w:footer="1134" w:gutter="284"/>
          <w:pgNumType w:fmt="upperRoman"/>
          <w:cols w:space="425" w:num="1"/>
          <w:formProt w:val="0"/>
          <w:docGrid w:type="lines" w:linePitch="312" w:charSpace="0"/>
        </w:sectPr>
      </w:pPr>
    </w:p>
    <w:bookmarkEnd w:id="28"/>
    <w:p>
      <w:pPr>
        <w:spacing w:line="20" w:lineRule="exact"/>
        <w:jc w:val="center"/>
        <w:rPr>
          <w:rFonts w:ascii="黑体" w:hAnsi="黑体" w:eastAsia="黑体"/>
          <w:sz w:val="32"/>
          <w:szCs w:val="32"/>
        </w:rPr>
      </w:pPr>
      <w:bookmarkStart w:id="29" w:name="BookMark4"/>
    </w:p>
    <w:p>
      <w:pPr>
        <w:spacing w:line="20" w:lineRule="exact"/>
        <w:jc w:val="center"/>
        <w:rPr>
          <w:rFonts w:ascii="黑体" w:hAnsi="黑体" w:eastAsia="黑体"/>
          <w:sz w:val="32"/>
          <w:szCs w:val="32"/>
        </w:rPr>
      </w:pPr>
    </w:p>
    <w:sdt>
      <w:sdtPr>
        <w:tag w:val="NEW_STAND_NAME"/>
        <w:id w:val="595910757"/>
        <w:lock w:val="sdtLocked"/>
        <w:placeholder>
          <w:docPart w:val="45FF2561F2CB4B3EAAB0F7998EC45908"/>
        </w:placeholder>
      </w:sdtPr>
      <w:sdtContent>
        <w:p>
          <w:pPr>
            <w:pStyle w:val="177"/>
            <w:spacing w:before="3" w:beforeLines="1" w:after="686" w:afterLines="220"/>
          </w:pPr>
          <w:bookmarkStart w:id="30" w:name="NEW_STAND_NAME"/>
          <w:r>
            <w:rPr>
              <w:rFonts w:hint="eastAsia"/>
            </w:rPr>
            <w:t>伊犁山花蜂蜜生产技术规范</w:t>
          </w:r>
        </w:p>
      </w:sdtContent>
    </w:sdt>
    <w:bookmarkEnd w:id="30"/>
    <w:p>
      <w:pPr>
        <w:pStyle w:val="104"/>
        <w:spacing w:before="312" w:after="312"/>
      </w:pPr>
      <w:bookmarkStart w:id="31" w:name="_Toc17233333"/>
      <w:bookmarkStart w:id="32" w:name="_Toc26986771"/>
      <w:bookmarkStart w:id="33" w:name="_Toc94309644"/>
      <w:bookmarkStart w:id="34" w:name="_Toc94319104"/>
      <w:bookmarkStart w:id="35" w:name="_Toc94319312"/>
      <w:bookmarkStart w:id="36" w:name="_Toc26648465"/>
      <w:bookmarkStart w:id="37" w:name="_Toc17233325"/>
      <w:bookmarkStart w:id="38" w:name="_Toc26718930"/>
      <w:bookmarkStart w:id="39" w:name="_Toc24884218"/>
      <w:bookmarkStart w:id="40" w:name="_Toc94321319"/>
      <w:bookmarkStart w:id="41" w:name="_Toc24884211"/>
      <w:bookmarkStart w:id="42" w:name="_Toc94319144"/>
      <w:bookmarkStart w:id="43" w:name="_Toc94321618"/>
      <w:bookmarkStart w:id="44" w:name="_Toc26986530"/>
      <w:r>
        <w:rPr>
          <w:rFonts w:hint="eastAsia"/>
        </w:rPr>
        <w:t>范围</w:t>
      </w:r>
      <w:bookmarkEnd w:id="31"/>
      <w:bookmarkEnd w:id="32"/>
      <w:bookmarkEnd w:id="33"/>
      <w:bookmarkEnd w:id="34"/>
      <w:bookmarkEnd w:id="35"/>
      <w:bookmarkEnd w:id="36"/>
      <w:bookmarkEnd w:id="37"/>
      <w:bookmarkEnd w:id="38"/>
      <w:bookmarkEnd w:id="39"/>
      <w:bookmarkEnd w:id="40"/>
      <w:bookmarkEnd w:id="41"/>
      <w:bookmarkEnd w:id="42"/>
      <w:bookmarkEnd w:id="43"/>
      <w:bookmarkEnd w:id="44"/>
    </w:p>
    <w:p>
      <w:pPr>
        <w:pStyle w:val="56"/>
        <w:ind w:firstLine="420"/>
      </w:pPr>
      <w:bookmarkStart w:id="45" w:name="_Toc17233334"/>
      <w:bookmarkStart w:id="46" w:name="_Toc24884219"/>
      <w:bookmarkStart w:id="47" w:name="_Toc24884212"/>
      <w:bookmarkStart w:id="48" w:name="_Toc17233326"/>
      <w:bookmarkStart w:id="49" w:name="_Toc26648466"/>
      <w:r>
        <w:rPr>
          <w:rFonts w:hint="eastAsia"/>
        </w:rPr>
        <w:t>本标准规定了伊犁山花蜂蜜的生产条件、培育适龄采集蜂、生产期蜂群管理、采收要求、取蜜前的准备、取蜜及包装、贮存和运输。</w:t>
      </w:r>
    </w:p>
    <w:p>
      <w:pPr>
        <w:pStyle w:val="56"/>
        <w:ind w:firstLine="420"/>
      </w:pPr>
      <w:r>
        <w:rPr>
          <w:rFonts w:hint="eastAsia"/>
        </w:rPr>
        <w:t>本标准适用于伊犁山花分布区山花蜂蜜的生产，自治区内其他地区山花蜜生产可参照执行。</w:t>
      </w:r>
    </w:p>
    <w:p>
      <w:pPr>
        <w:pStyle w:val="104"/>
        <w:spacing w:before="312" w:after="312"/>
      </w:pPr>
      <w:bookmarkStart w:id="50" w:name="_Toc26718931"/>
      <w:bookmarkStart w:id="51" w:name="_Toc26986531"/>
      <w:bookmarkStart w:id="52" w:name="_Toc26986772"/>
      <w:bookmarkStart w:id="53" w:name="_Toc94319145"/>
      <w:bookmarkStart w:id="54" w:name="_Toc94321320"/>
      <w:bookmarkStart w:id="55" w:name="_Toc94321619"/>
      <w:bookmarkStart w:id="56" w:name="_Toc94319313"/>
      <w:bookmarkStart w:id="57" w:name="_Toc94309645"/>
      <w:bookmarkStart w:id="58" w:name="_Toc94319105"/>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bookmarkEnd w:id="57"/>
      <w:bookmarkEnd w:id="58"/>
    </w:p>
    <w:sdt>
      <w:sdtPr>
        <w:rPr>
          <w:rFonts w:hint="eastAsia"/>
        </w:rPr>
        <w:id w:val="715848253"/>
        <w:placeholder>
          <w:docPart w:val="9641EB80D8DF41B9BD5E6CEC11790EE8"/>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ind w:firstLine="420"/>
      </w:pPr>
      <w:r>
        <w:rPr>
          <w:rFonts w:hint="eastAsia" w:ascii="Times New Roman"/>
        </w:rPr>
        <w:t>GB/T 317</w:t>
      </w:r>
      <w:r>
        <w:rPr>
          <w:rFonts w:hint="eastAsia"/>
        </w:rPr>
        <w:t xml:space="preserve">  白砂糖 </w:t>
      </w:r>
    </w:p>
    <w:p>
      <w:pPr>
        <w:pStyle w:val="56"/>
        <w:ind w:firstLine="420"/>
      </w:pPr>
      <w:r>
        <w:rPr>
          <w:rFonts w:hint="eastAsia" w:ascii="Times New Roman"/>
        </w:rPr>
        <w:t>GB 3095-2016</w:t>
      </w:r>
      <w:r>
        <w:rPr>
          <w:rFonts w:hint="eastAsia"/>
        </w:rPr>
        <w:t xml:space="preserve">  环境空气质量标准 </w:t>
      </w:r>
    </w:p>
    <w:p>
      <w:pPr>
        <w:pStyle w:val="56"/>
        <w:ind w:firstLine="420"/>
      </w:pPr>
      <w:r>
        <w:rPr>
          <w:rFonts w:hint="eastAsia" w:ascii="Times New Roman"/>
        </w:rPr>
        <w:t>GB 5749</w:t>
      </w:r>
      <w:r>
        <w:rPr>
          <w:rFonts w:hint="eastAsia"/>
        </w:rPr>
        <w:t xml:space="preserve">  生活饮用水卫生标准 </w:t>
      </w:r>
    </w:p>
    <w:p>
      <w:pPr>
        <w:pStyle w:val="56"/>
        <w:ind w:firstLine="420"/>
      </w:pPr>
      <w:r>
        <w:rPr>
          <w:rFonts w:hint="eastAsia" w:ascii="Times New Roman"/>
        </w:rPr>
        <w:t>GB 14963-2011</w:t>
      </w:r>
      <w:r>
        <w:rPr>
          <w:rFonts w:hint="eastAsia"/>
        </w:rPr>
        <w:t xml:space="preserve">  食品安全国家标准 蜂蜜</w:t>
      </w:r>
    </w:p>
    <w:p>
      <w:pPr>
        <w:pStyle w:val="56"/>
        <w:ind w:firstLine="420"/>
      </w:pPr>
      <w:r>
        <w:rPr>
          <w:rFonts w:hint="eastAsia" w:ascii="Times New Roman"/>
        </w:rPr>
        <w:t>GB/T 19168-2003</w:t>
      </w:r>
      <w:r>
        <w:rPr>
          <w:rFonts w:hint="eastAsia"/>
        </w:rPr>
        <w:t xml:space="preserve">  蜜蜂病虫害综合防治规范</w:t>
      </w:r>
    </w:p>
    <w:p>
      <w:pPr>
        <w:pStyle w:val="56"/>
        <w:ind w:firstLine="420"/>
      </w:pPr>
      <w:r>
        <w:rPr>
          <w:rFonts w:hint="eastAsia" w:ascii="Times New Roman"/>
        </w:rPr>
        <w:t>GH/T 18796-2012</w:t>
      </w:r>
      <w:r>
        <w:rPr>
          <w:rFonts w:hint="eastAsia"/>
        </w:rPr>
        <w:t xml:space="preserve">  蜂蜜 </w:t>
      </w:r>
    </w:p>
    <w:p>
      <w:pPr>
        <w:pStyle w:val="56"/>
        <w:ind w:firstLine="420"/>
      </w:pPr>
      <w:r>
        <w:rPr>
          <w:rFonts w:hint="eastAsia" w:ascii="Times New Roman"/>
        </w:rPr>
        <w:t>NY/T 639</w:t>
      </w:r>
      <w:r>
        <w:rPr>
          <w:rFonts w:hint="eastAsia"/>
        </w:rPr>
        <w:t xml:space="preserve">  蜂蜜生产技术规范 </w:t>
      </w:r>
    </w:p>
    <w:p>
      <w:pPr>
        <w:pStyle w:val="56"/>
        <w:ind w:firstLine="420"/>
      </w:pPr>
      <w:r>
        <w:rPr>
          <w:rFonts w:hint="eastAsia" w:ascii="Times New Roman"/>
        </w:rPr>
        <w:t>NY 5137</w:t>
      </w:r>
      <w:r>
        <w:rPr>
          <w:rFonts w:hint="eastAsia"/>
        </w:rPr>
        <w:t xml:space="preserve"> 无公害食品 蜂花粉</w:t>
      </w:r>
    </w:p>
    <w:p>
      <w:pPr>
        <w:pStyle w:val="56"/>
        <w:ind w:firstLine="420"/>
      </w:pPr>
      <w:r>
        <w:rPr>
          <w:rFonts w:hint="eastAsia" w:ascii="Times New Roman"/>
        </w:rPr>
        <w:t>NY/T 5139</w:t>
      </w:r>
      <w:r>
        <w:rPr>
          <w:rFonts w:hint="eastAsia"/>
        </w:rPr>
        <w:t xml:space="preserve"> 无公害食品蜜蜂饲养管理准则</w:t>
      </w:r>
    </w:p>
    <w:p>
      <w:pPr>
        <w:pStyle w:val="104"/>
        <w:spacing w:before="312" w:after="312"/>
      </w:pPr>
      <w:bookmarkStart w:id="59" w:name="_Toc94319314"/>
      <w:bookmarkStart w:id="60" w:name="_Toc94321321"/>
      <w:bookmarkStart w:id="61" w:name="_Toc94319146"/>
      <w:bookmarkStart w:id="62" w:name="_Toc94321620"/>
      <w:bookmarkStart w:id="63" w:name="_Toc94319106"/>
      <w:bookmarkStart w:id="64" w:name="_Toc94309646"/>
      <w:r>
        <w:rPr>
          <w:rFonts w:hint="eastAsia"/>
          <w:szCs w:val="21"/>
        </w:rPr>
        <w:t>术语和定义</w:t>
      </w:r>
      <w:bookmarkEnd w:id="59"/>
      <w:bookmarkEnd w:id="60"/>
      <w:bookmarkEnd w:id="61"/>
      <w:bookmarkEnd w:id="62"/>
      <w:bookmarkEnd w:id="63"/>
      <w:bookmarkEnd w:id="64"/>
    </w:p>
    <w:sdt>
      <w:sdtPr>
        <w:id w:val="-1909835108"/>
        <w:placeholder>
          <w:docPart w:val="5DD96CB565854643B2FF9185826FF40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56"/>
            <w:ind w:firstLine="420"/>
          </w:pPr>
          <w:bookmarkStart w:id="65" w:name="_Toc26986532"/>
          <w:bookmarkEnd w:id="65"/>
          <w:r>
            <w:t>下列术语和定义适用于本文件。</w:t>
          </w:r>
        </w:p>
      </w:sdtContent>
    </w:sdt>
    <w:p>
      <w:pPr>
        <w:pStyle w:val="223"/>
        <w:spacing w:before="156" w:beforeLines="50" w:after="156" w:afterLines="50"/>
        <w:ind w:left="0"/>
        <w:outlineLvl w:val="1"/>
      </w:pPr>
      <w:bookmarkStart w:id="66" w:name="_Toc94309647"/>
      <w:r>
        <w:rPr>
          <w:rFonts w:hint="eastAsia" w:ascii="黑体" w:eastAsia="黑体"/>
        </w:rPr>
        <w:t>伊犁山花 yili pediment</w:t>
      </w:r>
      <w:bookmarkEnd w:id="66"/>
    </w:p>
    <w:p>
      <w:pPr>
        <w:pStyle w:val="56"/>
        <w:ind w:firstLine="420"/>
        <w:rPr>
          <w:rFonts w:hint="eastAsia"/>
        </w:rPr>
      </w:pPr>
      <w:r>
        <w:rPr>
          <w:rFonts w:hint="eastAsia"/>
        </w:rPr>
        <w:t>生长于新疆伊犁河谷东部（范围大体包括尼勒克县、新源县、巩留县、特克斯县和昭苏县行政区域）低山丘陵典型草原，于每年7月末至9月初开花的各类野生灌木或草本蜜粉源植物的统称。包括锦鸡儿（</w:t>
      </w:r>
      <w:r>
        <w:rPr>
          <w:rFonts w:hint="eastAsia" w:ascii="Times New Roman"/>
        </w:rPr>
        <w:t>Caragana turkestanica Kom</w:t>
      </w:r>
      <w:r>
        <w:rPr>
          <w:rFonts w:hint="eastAsia"/>
        </w:rPr>
        <w:t>）、密刺蔷薇（</w:t>
      </w:r>
      <w:r>
        <w:rPr>
          <w:rFonts w:hint="eastAsia" w:ascii="Times New Roman"/>
        </w:rPr>
        <w:t>Rosa spinosissima L.</w:t>
      </w:r>
      <w:r>
        <w:rPr>
          <w:rFonts w:hint="eastAsia"/>
        </w:rPr>
        <w:t>）、欧洲稠李（</w:t>
      </w:r>
      <w:r>
        <w:rPr>
          <w:rFonts w:hint="eastAsia" w:ascii="Times New Roman"/>
        </w:rPr>
        <w:t xml:space="preserve">Padus racemosa </w:t>
      </w:r>
      <w:r>
        <w:rPr>
          <w:rFonts w:hint="eastAsia"/>
        </w:rPr>
        <w:t>(</w:t>
      </w:r>
      <w:r>
        <w:rPr>
          <w:rFonts w:hint="eastAsia" w:ascii="Times New Roman"/>
        </w:rPr>
        <w:t>Linn</w:t>
      </w:r>
      <w:r>
        <w:rPr>
          <w:rFonts w:hint="eastAsia"/>
        </w:rPr>
        <w:t xml:space="preserve">.) </w:t>
      </w:r>
      <w:r>
        <w:rPr>
          <w:rFonts w:hint="eastAsia" w:ascii="Times New Roman"/>
        </w:rPr>
        <w:t>Gilib</w:t>
      </w:r>
      <w:r>
        <w:rPr>
          <w:rFonts w:hint="eastAsia"/>
        </w:rPr>
        <w:t>）、天山绣线菊（</w:t>
      </w:r>
      <w:r>
        <w:rPr>
          <w:rFonts w:hint="eastAsia" w:ascii="Times New Roman"/>
        </w:rPr>
        <w:t>Spiraea tianschanica Pojark</w:t>
      </w:r>
      <w:r>
        <w:rPr>
          <w:rFonts w:hint="eastAsia"/>
        </w:rPr>
        <w:t>）、刚毛忍冬（</w:t>
      </w:r>
      <w:r>
        <w:rPr>
          <w:rFonts w:hint="eastAsia" w:ascii="Times New Roman"/>
        </w:rPr>
        <w:t>Lonicera hispida Pall. ex Roem. et Schult</w:t>
      </w:r>
      <w:r>
        <w:rPr>
          <w:rFonts w:hint="eastAsia"/>
        </w:rPr>
        <w:t>）、黑果栒子（</w:t>
      </w:r>
      <w:r>
        <w:rPr>
          <w:rFonts w:hint="eastAsia" w:ascii="Times New Roman"/>
        </w:rPr>
        <w:t>Cotoneaster melanocarpus Lodd</w:t>
      </w:r>
      <w:r>
        <w:rPr>
          <w:rFonts w:hint="eastAsia"/>
        </w:rPr>
        <w:t>）、黑果小檗（</w:t>
      </w:r>
      <w:r>
        <w:rPr>
          <w:rFonts w:hint="eastAsia" w:ascii="Times New Roman"/>
        </w:rPr>
        <w:t>Berberis atrocarpa Schneid</w:t>
      </w:r>
      <w:r>
        <w:rPr>
          <w:rFonts w:hint="eastAsia"/>
        </w:rPr>
        <w:t>）、天山大黄（</w:t>
      </w:r>
      <w:r>
        <w:rPr>
          <w:rFonts w:hint="eastAsia" w:ascii="Times New Roman"/>
        </w:rPr>
        <w:t>Rheum wittrockii Lundstr</w:t>
      </w:r>
      <w:r>
        <w:rPr>
          <w:rFonts w:hint="eastAsia"/>
        </w:rPr>
        <w:t>)、白三叶(</w:t>
      </w:r>
      <w:r>
        <w:rPr>
          <w:rFonts w:hint="eastAsia" w:ascii="Times New Roman"/>
        </w:rPr>
        <w:t>Trifolium repens</w:t>
      </w:r>
      <w:r>
        <w:rPr>
          <w:rFonts w:hint="eastAsia"/>
        </w:rPr>
        <w:t>)、天山蓟（</w:t>
      </w:r>
      <w:r>
        <w:rPr>
          <w:rFonts w:hint="eastAsia" w:ascii="Times New Roman"/>
        </w:rPr>
        <w:t>Cirsium alberti</w:t>
      </w:r>
      <w:r>
        <w:rPr>
          <w:rFonts w:hint="eastAsia"/>
        </w:rPr>
        <w:t>)、老鹳草（</w:t>
      </w:r>
      <w:r>
        <w:rPr>
          <w:rFonts w:hint="eastAsia" w:ascii="Times New Roman"/>
        </w:rPr>
        <w:t>Geranium spp.</w:t>
      </w:r>
      <w:r>
        <w:rPr>
          <w:rFonts w:hint="eastAsia"/>
        </w:rPr>
        <w:t>)、马先嵩（</w:t>
      </w:r>
      <w:r>
        <w:rPr>
          <w:rFonts w:hint="eastAsia" w:ascii="Times New Roman"/>
        </w:rPr>
        <w:t>Pedicularis spp.</w:t>
      </w:r>
      <w:r>
        <w:rPr>
          <w:rFonts w:hint="eastAsia"/>
        </w:rPr>
        <w:t>)、牛至（</w:t>
      </w:r>
      <w:r>
        <w:rPr>
          <w:rFonts w:hint="eastAsia" w:ascii="Times New Roman"/>
        </w:rPr>
        <w:t>Origanum vulgare</w:t>
      </w:r>
      <w:r>
        <w:rPr>
          <w:rFonts w:hint="eastAsia"/>
        </w:rPr>
        <w:t>)、新疆党参（</w:t>
      </w:r>
      <w:r>
        <w:rPr>
          <w:rFonts w:hint="eastAsia" w:ascii="Times New Roman"/>
        </w:rPr>
        <w:t>Codonopsis clematidea</w:t>
      </w:r>
      <w:r>
        <w:rPr>
          <w:rFonts w:hint="eastAsia"/>
        </w:rPr>
        <w:t>)、乌头（</w:t>
      </w:r>
      <w:r>
        <w:rPr>
          <w:rFonts w:hint="eastAsia" w:ascii="Times New Roman"/>
        </w:rPr>
        <w:t>Aconitum spp.</w:t>
      </w:r>
      <w:r>
        <w:rPr>
          <w:rFonts w:hint="eastAsia"/>
        </w:rPr>
        <w:t>)、矮古当归 (</w:t>
      </w:r>
      <w:r>
        <w:rPr>
          <w:rFonts w:hint="eastAsia" w:ascii="Times New Roman"/>
        </w:rPr>
        <w:t>Archangelica brevicaulis</w:t>
      </w:r>
      <w:r>
        <w:rPr>
          <w:rFonts w:hint="eastAsia"/>
        </w:rPr>
        <w:t>)、薄叶蓟 (</w:t>
      </w:r>
      <w:r>
        <w:rPr>
          <w:rFonts w:hint="eastAsia" w:ascii="Times New Roman"/>
        </w:rPr>
        <w:t>Cirsium  tenuifolium</w:t>
      </w:r>
      <w:r>
        <w:rPr>
          <w:rFonts w:hint="eastAsia"/>
        </w:rPr>
        <w:t>)、百里香（</w:t>
      </w:r>
      <w:r>
        <w:rPr>
          <w:rFonts w:hint="eastAsia" w:ascii="Times New Roman"/>
        </w:rPr>
        <w:t>Thymus spp.</w:t>
      </w:r>
      <w:r>
        <w:rPr>
          <w:rFonts w:hint="eastAsia"/>
        </w:rPr>
        <w:t>)、黄花茅(</w:t>
      </w:r>
      <w:r>
        <w:rPr>
          <w:rFonts w:hint="eastAsia" w:ascii="Times New Roman"/>
        </w:rPr>
        <w:t>Anthoxanthum odoratum</w:t>
      </w:r>
      <w:r>
        <w:rPr>
          <w:rFonts w:hint="eastAsia"/>
        </w:rPr>
        <w:t>)、水蓼(</w:t>
      </w:r>
      <w:r>
        <w:rPr>
          <w:rFonts w:hint="eastAsia" w:ascii="Times New Roman"/>
        </w:rPr>
        <w:t>Polygonum hydropiper</w:t>
      </w:r>
      <w:r>
        <w:rPr>
          <w:rFonts w:hint="eastAsia"/>
        </w:rPr>
        <w:t>)、苦豆子(</w:t>
      </w:r>
      <w:r>
        <w:rPr>
          <w:rFonts w:hint="eastAsia" w:ascii="Times New Roman"/>
        </w:rPr>
        <w:t>Sophora alopecroides</w:t>
      </w:r>
      <w:r>
        <w:rPr>
          <w:rFonts w:hint="eastAsia"/>
        </w:rPr>
        <w:t>)、薄荷（</w:t>
      </w:r>
      <w:r>
        <w:rPr>
          <w:rFonts w:hint="eastAsia" w:ascii="Times New Roman"/>
        </w:rPr>
        <w:t>Mentha haplocalyx</w:t>
      </w:r>
      <w:r>
        <w:rPr>
          <w:rFonts w:hint="eastAsia"/>
        </w:rPr>
        <w:t>)、红花三叶草（</w:t>
      </w:r>
      <w:r>
        <w:rPr>
          <w:rFonts w:hint="eastAsia" w:ascii="Times New Roman"/>
        </w:rPr>
        <w:t>Trifolium pratense</w:t>
      </w:r>
      <w:r>
        <w:rPr>
          <w:rFonts w:hint="eastAsia"/>
        </w:rPr>
        <w:t>)、红景天(</w:t>
      </w:r>
      <w:r>
        <w:rPr>
          <w:rFonts w:hint="eastAsia" w:ascii="Times New Roman"/>
        </w:rPr>
        <w:t>Rhodiola spp.</w:t>
      </w:r>
      <w:r>
        <w:rPr>
          <w:rFonts w:hint="eastAsia"/>
        </w:rPr>
        <w:t>)等140余种，很多属药用植物。</w:t>
      </w:r>
    </w:p>
    <w:p>
      <w:pPr>
        <w:pStyle w:val="105"/>
        <w:spacing w:before="156" w:after="156"/>
        <w:ind w:left="0"/>
      </w:pPr>
      <w:bookmarkStart w:id="67" w:name="_Toc94309648"/>
      <w:bookmarkStart w:id="68" w:name="_Toc94319107"/>
      <w:bookmarkStart w:id="69" w:name="_Toc94319147"/>
      <w:bookmarkStart w:id="70" w:name="_Toc94319264"/>
      <w:bookmarkStart w:id="71" w:name="_Toc94319315"/>
      <w:bookmarkStart w:id="72" w:name="_Toc94321322"/>
      <w:r>
        <w:rPr>
          <w:rFonts w:hint="eastAsia"/>
        </w:rPr>
        <w:t>伊犁山花蜂蜜 yili pediment honey</w:t>
      </w:r>
      <w:bookmarkEnd w:id="67"/>
      <w:bookmarkEnd w:id="68"/>
      <w:bookmarkEnd w:id="69"/>
      <w:bookmarkEnd w:id="70"/>
      <w:bookmarkEnd w:id="71"/>
      <w:bookmarkEnd w:id="72"/>
    </w:p>
    <w:p>
      <w:pPr>
        <w:pStyle w:val="56"/>
        <w:ind w:firstLine="420"/>
      </w:pPr>
      <w:r>
        <w:rPr>
          <w:rFonts w:hint="eastAsia"/>
        </w:rPr>
        <w:t>蜜蜂采集伊犁山花的花蜜经酿造而成的天然甜物质。因香气浓郁、入口绵软、营养丰富而独具风味，属国内特色蜂蜜。因采集区域蜜源植物品种的差异，在外观、形态、口感等方面略有差别。</w:t>
      </w:r>
    </w:p>
    <w:p>
      <w:pPr>
        <w:pStyle w:val="105"/>
        <w:spacing w:before="156" w:after="156"/>
        <w:ind w:left="0"/>
      </w:pPr>
      <w:bookmarkStart w:id="73" w:name="_Toc94309649"/>
      <w:bookmarkStart w:id="74" w:name="_Toc94319108"/>
      <w:bookmarkStart w:id="75" w:name="_Toc94319148"/>
      <w:bookmarkStart w:id="76" w:name="_Toc94319265"/>
      <w:bookmarkStart w:id="77" w:name="_Toc94319316"/>
      <w:bookmarkStart w:id="78" w:name="_Toc94321323"/>
      <w:r>
        <w:rPr>
          <w:rFonts w:hint="eastAsia"/>
        </w:rPr>
        <w:t>蜜粉源植物 honey plants;nectar plants</w:t>
      </w:r>
      <w:bookmarkEnd w:id="73"/>
      <w:bookmarkEnd w:id="74"/>
      <w:bookmarkEnd w:id="75"/>
      <w:bookmarkEnd w:id="76"/>
      <w:bookmarkEnd w:id="77"/>
      <w:bookmarkEnd w:id="78"/>
    </w:p>
    <w:p>
      <w:pPr>
        <w:pStyle w:val="56"/>
        <w:ind w:firstLine="420"/>
      </w:pPr>
      <w:r>
        <w:rPr>
          <w:rFonts w:hint="eastAsia"/>
        </w:rPr>
        <w:t>为蜜蜂提供花蜜或兼有花粉的植物。</w:t>
      </w:r>
    </w:p>
    <w:p>
      <w:pPr>
        <w:pStyle w:val="105"/>
        <w:spacing w:before="156" w:after="156"/>
        <w:ind w:left="0"/>
      </w:pPr>
      <w:bookmarkStart w:id="79" w:name="_Toc94309650"/>
      <w:bookmarkStart w:id="80" w:name="_Toc94319109"/>
      <w:bookmarkStart w:id="81" w:name="_Toc94319149"/>
      <w:bookmarkStart w:id="82" w:name="_Toc94319266"/>
      <w:bookmarkStart w:id="83" w:name="_Toc94319317"/>
      <w:bookmarkStart w:id="84" w:name="_Toc94321324"/>
      <w:r>
        <w:rPr>
          <w:rFonts w:hint="eastAsia"/>
        </w:rPr>
        <w:t>酿造 brew</w:t>
      </w:r>
      <w:bookmarkEnd w:id="79"/>
      <w:bookmarkEnd w:id="80"/>
      <w:bookmarkEnd w:id="81"/>
      <w:bookmarkEnd w:id="82"/>
      <w:bookmarkEnd w:id="83"/>
      <w:bookmarkEnd w:id="84"/>
    </w:p>
    <w:p>
      <w:pPr>
        <w:pStyle w:val="56"/>
        <w:ind w:firstLine="420"/>
      </w:pPr>
      <w:r>
        <w:rPr>
          <w:rFonts w:hint="eastAsia"/>
        </w:rPr>
        <w:t>蜜蜂采集植物的花蜜带回巢房，加入自身分泌的特殊物质进行转化、沉积、脱水致成熟的天然甜物质的过程。</w:t>
      </w:r>
    </w:p>
    <w:p>
      <w:pPr>
        <w:pStyle w:val="105"/>
        <w:spacing w:before="156" w:after="156"/>
        <w:ind w:left="0"/>
      </w:pPr>
      <w:bookmarkStart w:id="85" w:name="_Toc94309651"/>
      <w:bookmarkStart w:id="86" w:name="_Toc94319110"/>
      <w:bookmarkStart w:id="87" w:name="_Toc94319150"/>
      <w:bookmarkStart w:id="88" w:name="_Toc94319267"/>
      <w:bookmarkStart w:id="89" w:name="_Toc94319318"/>
      <w:bookmarkStart w:id="90" w:name="_Toc94321325"/>
      <w:r>
        <w:rPr>
          <w:rFonts w:hint="eastAsia"/>
        </w:rPr>
        <w:t>适龄采集蜂 forager of proper age</w:t>
      </w:r>
      <w:bookmarkEnd w:id="85"/>
      <w:bookmarkEnd w:id="86"/>
      <w:bookmarkEnd w:id="87"/>
      <w:bookmarkEnd w:id="88"/>
      <w:bookmarkEnd w:id="89"/>
      <w:bookmarkEnd w:id="90"/>
    </w:p>
    <w:p>
      <w:pPr>
        <w:pStyle w:val="56"/>
        <w:ind w:firstLine="420"/>
      </w:pPr>
      <w:r>
        <w:rPr>
          <w:rFonts w:hint="eastAsia"/>
        </w:rPr>
        <w:t>处于一定生长日龄、器官及功能适合出巢采集的工蜂。</w:t>
      </w:r>
    </w:p>
    <w:p>
      <w:pPr>
        <w:pStyle w:val="105"/>
        <w:spacing w:before="156" w:after="156"/>
        <w:ind w:left="0"/>
      </w:pPr>
      <w:bookmarkStart w:id="91" w:name="_Toc94309652"/>
      <w:bookmarkStart w:id="92" w:name="_Toc94319111"/>
      <w:bookmarkStart w:id="93" w:name="_Toc94319151"/>
      <w:bookmarkStart w:id="94" w:name="_Toc94319268"/>
      <w:bookmarkStart w:id="95" w:name="_Toc94319319"/>
      <w:bookmarkStart w:id="96" w:name="_Toc94321326"/>
      <w:r>
        <w:rPr>
          <w:rFonts w:hint="eastAsia"/>
        </w:rPr>
        <w:t>群势 power colony,population of a colony</w:t>
      </w:r>
      <w:bookmarkEnd w:id="91"/>
      <w:bookmarkEnd w:id="92"/>
      <w:bookmarkEnd w:id="93"/>
      <w:bookmarkEnd w:id="94"/>
      <w:bookmarkEnd w:id="95"/>
      <w:bookmarkEnd w:id="96"/>
    </w:p>
    <w:p>
      <w:pPr>
        <w:pStyle w:val="56"/>
        <w:ind w:firstLine="420"/>
      </w:pPr>
      <w:r>
        <w:rPr>
          <w:rFonts w:hint="eastAsia"/>
        </w:rPr>
        <w:t>蜂群中工蜂及子脾的数量状况。</w:t>
      </w:r>
    </w:p>
    <w:p>
      <w:pPr>
        <w:pStyle w:val="105"/>
        <w:spacing w:before="156" w:after="156"/>
        <w:ind w:left="0"/>
      </w:pPr>
      <w:bookmarkStart w:id="97" w:name="_Toc94309653"/>
      <w:bookmarkStart w:id="98" w:name="_Toc94319112"/>
      <w:bookmarkStart w:id="99" w:name="_Toc94319152"/>
      <w:bookmarkStart w:id="100" w:name="_Toc94319269"/>
      <w:bookmarkStart w:id="101" w:name="_Toc94319320"/>
      <w:bookmarkStart w:id="102" w:name="_Toc94321327"/>
      <w:r>
        <w:rPr>
          <w:rFonts w:hint="eastAsia"/>
        </w:rPr>
        <w:t>采蜜群 colonies for honey-getting</w:t>
      </w:r>
      <w:bookmarkEnd w:id="97"/>
      <w:bookmarkEnd w:id="98"/>
      <w:bookmarkEnd w:id="99"/>
      <w:bookmarkEnd w:id="100"/>
      <w:bookmarkEnd w:id="101"/>
      <w:bookmarkEnd w:id="102"/>
    </w:p>
    <w:p>
      <w:pPr>
        <w:pStyle w:val="56"/>
        <w:ind w:firstLine="420"/>
      </w:pPr>
      <w:r>
        <w:rPr>
          <w:rFonts w:hint="eastAsia"/>
        </w:rPr>
        <w:t>生产商品蜜的蜂群，也叫生产群。</w:t>
      </w:r>
    </w:p>
    <w:p>
      <w:pPr>
        <w:pStyle w:val="105"/>
        <w:spacing w:before="156" w:after="156"/>
        <w:ind w:left="0"/>
      </w:pPr>
      <w:bookmarkStart w:id="103" w:name="_Toc94309654"/>
      <w:bookmarkStart w:id="104" w:name="_Toc94319113"/>
      <w:bookmarkStart w:id="105" w:name="_Toc94319153"/>
      <w:bookmarkStart w:id="106" w:name="_Toc94319270"/>
      <w:bookmarkStart w:id="107" w:name="_Toc94319321"/>
      <w:bookmarkStart w:id="108" w:name="_Toc94321328"/>
      <w:r>
        <w:rPr>
          <w:rFonts w:hint="eastAsia"/>
        </w:rPr>
        <w:t>流蜜期 period of secreting-honey</w:t>
      </w:r>
      <w:bookmarkEnd w:id="103"/>
      <w:bookmarkEnd w:id="104"/>
      <w:bookmarkEnd w:id="105"/>
      <w:bookmarkEnd w:id="106"/>
      <w:bookmarkEnd w:id="107"/>
      <w:bookmarkEnd w:id="108"/>
    </w:p>
    <w:p>
      <w:pPr>
        <w:pStyle w:val="56"/>
        <w:ind w:firstLine="420"/>
      </w:pPr>
      <w:r>
        <w:rPr>
          <w:rFonts w:hint="eastAsia"/>
        </w:rPr>
        <w:t>有一种或多种主要蜜源植物开花，蜂群能生产大量商品蜂蜜的时期。</w:t>
      </w:r>
    </w:p>
    <w:p>
      <w:pPr>
        <w:pStyle w:val="104"/>
        <w:spacing w:before="312" w:after="312"/>
      </w:pPr>
      <w:bookmarkStart w:id="109" w:name="_Toc94319114"/>
      <w:bookmarkStart w:id="110" w:name="_Toc94319154"/>
      <w:bookmarkStart w:id="111" w:name="_Toc94319322"/>
      <w:bookmarkStart w:id="112" w:name="_Toc94321329"/>
      <w:bookmarkStart w:id="113" w:name="_Toc94321621"/>
      <w:r>
        <w:rPr>
          <w:rFonts w:hint="eastAsia"/>
        </w:rPr>
        <w:t>生产条件</w:t>
      </w:r>
      <w:bookmarkEnd w:id="109"/>
      <w:bookmarkEnd w:id="110"/>
      <w:bookmarkEnd w:id="111"/>
      <w:bookmarkEnd w:id="112"/>
      <w:bookmarkEnd w:id="113"/>
    </w:p>
    <w:p>
      <w:pPr>
        <w:pStyle w:val="105"/>
        <w:spacing w:before="156" w:after="156"/>
        <w:ind w:left="0"/>
      </w:pPr>
      <w:bookmarkStart w:id="114" w:name="_Toc94319115"/>
      <w:bookmarkStart w:id="115" w:name="_Toc94319155"/>
      <w:bookmarkStart w:id="116" w:name="_Toc94319323"/>
      <w:bookmarkStart w:id="117" w:name="_Toc94321330"/>
      <w:r>
        <w:rPr>
          <w:rFonts w:hint="eastAsia"/>
        </w:rPr>
        <w:t>蜂群</w:t>
      </w:r>
      <w:bookmarkEnd w:id="114"/>
      <w:bookmarkEnd w:id="115"/>
      <w:bookmarkEnd w:id="116"/>
      <w:bookmarkEnd w:id="117"/>
    </w:p>
    <w:p>
      <w:pPr>
        <w:ind w:firstLine="420" w:firstLineChars="200"/>
      </w:pPr>
      <w:r>
        <w:rPr>
          <w:rFonts w:hint="eastAsia"/>
        </w:rPr>
        <w:t>采蜜群强壮，有足量、健康的适龄采集蜂。</w:t>
      </w:r>
    </w:p>
    <w:p>
      <w:pPr>
        <w:pStyle w:val="105"/>
        <w:spacing w:before="156" w:after="156"/>
        <w:ind w:left="0"/>
      </w:pPr>
      <w:bookmarkStart w:id="118" w:name="_Toc94319116"/>
      <w:bookmarkStart w:id="119" w:name="_Toc94319156"/>
      <w:bookmarkStart w:id="120" w:name="_Toc94319324"/>
      <w:bookmarkStart w:id="121" w:name="_Toc94321331"/>
      <w:r>
        <w:rPr>
          <w:rFonts w:hint="eastAsia"/>
        </w:rPr>
        <w:t>蜜源</w:t>
      </w:r>
      <w:bookmarkEnd w:id="118"/>
      <w:bookmarkEnd w:id="119"/>
      <w:bookmarkEnd w:id="120"/>
      <w:bookmarkEnd w:id="121"/>
    </w:p>
    <w:p>
      <w:pPr>
        <w:ind w:firstLine="420" w:firstLineChars="200"/>
      </w:pPr>
      <w:r>
        <w:rPr>
          <w:rFonts w:hint="eastAsia"/>
        </w:rPr>
        <w:t>蜂场半径</w:t>
      </w:r>
      <w:r>
        <w:rPr>
          <w:rFonts w:hint="eastAsia" w:ascii="Times New Roman" w:hAnsi="Times New Roman"/>
          <w:kern w:val="0"/>
          <w:szCs w:val="20"/>
        </w:rPr>
        <w:t>3km</w:t>
      </w:r>
      <w:r>
        <w:rPr>
          <w:rFonts w:hint="eastAsia"/>
        </w:rPr>
        <w:t>范围内有集中、成片的伊犁山花处于流蜜期，且周边没有成规模、人工种植并处于开花期的作物。</w:t>
      </w:r>
    </w:p>
    <w:p>
      <w:pPr>
        <w:pStyle w:val="105"/>
        <w:spacing w:before="156" w:after="156"/>
        <w:ind w:left="0"/>
      </w:pPr>
      <w:bookmarkStart w:id="122" w:name="_Toc94319117"/>
      <w:bookmarkStart w:id="123" w:name="_Toc94319157"/>
      <w:bookmarkStart w:id="124" w:name="_Toc94319325"/>
      <w:bookmarkStart w:id="125" w:name="_Toc94321332"/>
      <w:r>
        <w:rPr>
          <w:rFonts w:hint="eastAsia"/>
        </w:rPr>
        <w:t>蜂场选址与保洁</w:t>
      </w:r>
      <w:bookmarkEnd w:id="122"/>
      <w:bookmarkEnd w:id="123"/>
      <w:bookmarkEnd w:id="124"/>
      <w:bookmarkEnd w:id="125"/>
    </w:p>
    <w:p>
      <w:pPr>
        <w:pStyle w:val="65"/>
        <w:spacing w:before="156" w:after="156"/>
        <w:ind w:left="0"/>
        <w:rPr>
          <w:rFonts w:ascii="宋体" w:eastAsia="宋体"/>
        </w:rPr>
      </w:pPr>
      <w:r>
        <w:rPr>
          <w:rFonts w:hint="eastAsia" w:ascii="宋体" w:eastAsia="宋体"/>
        </w:rPr>
        <w:t>应位于伊犁山花生长分布区内，服从当地农业农村主管部门选址安排，且符合</w:t>
      </w:r>
      <w:r>
        <w:rPr>
          <w:rFonts w:hint="eastAsia" w:ascii="Times New Roman" w:eastAsia="宋体"/>
        </w:rPr>
        <w:t>NY/T 5139</w:t>
      </w:r>
      <w:r>
        <w:rPr>
          <w:rFonts w:hint="eastAsia" w:ascii="宋体" w:eastAsia="宋体"/>
        </w:rPr>
        <w:t>的环境要求。</w:t>
      </w:r>
    </w:p>
    <w:p>
      <w:pPr>
        <w:pStyle w:val="65"/>
        <w:spacing w:before="156" w:after="156"/>
        <w:ind w:left="0"/>
        <w:rPr>
          <w:rFonts w:ascii="宋体" w:eastAsia="宋体"/>
        </w:rPr>
      </w:pPr>
      <w:r>
        <w:rPr>
          <w:rFonts w:hint="eastAsia" w:ascii="宋体" w:eastAsia="宋体"/>
        </w:rPr>
        <w:t>定时清除场内杂草，整理牲畜粪便，保持蜂场环境卫生。</w:t>
      </w:r>
    </w:p>
    <w:p>
      <w:pPr>
        <w:pStyle w:val="65"/>
        <w:spacing w:before="156" w:after="156"/>
        <w:ind w:left="0"/>
        <w:rPr>
          <w:rFonts w:ascii="宋体" w:eastAsia="宋体"/>
        </w:rPr>
      </w:pPr>
      <w:r>
        <w:rPr>
          <w:rFonts w:hint="eastAsia" w:ascii="宋体" w:eastAsia="宋体"/>
        </w:rPr>
        <w:t>每周对蜂场的死蜂清理一次，及时深埋处理。</w:t>
      </w:r>
    </w:p>
    <w:p>
      <w:pPr>
        <w:pStyle w:val="65"/>
        <w:spacing w:before="156" w:after="156"/>
        <w:ind w:left="0"/>
        <w:rPr>
          <w:rFonts w:ascii="宋体" w:eastAsia="宋体"/>
        </w:rPr>
      </w:pPr>
      <w:r>
        <w:rPr>
          <w:rFonts w:hint="eastAsia" w:ascii="宋体" w:eastAsia="宋体"/>
        </w:rPr>
        <w:t>采用5%的漂白粉水溶液等对人和蜜蜂安全、无残留毒性、对设备无破坏性、不会在蜂蜜中产生有害积累的消毒剂对蜂场及周边环境进行喷洒消毒。</w:t>
      </w:r>
    </w:p>
    <w:p>
      <w:pPr>
        <w:pStyle w:val="105"/>
        <w:spacing w:before="156" w:after="156"/>
        <w:ind w:left="0"/>
      </w:pPr>
      <w:bookmarkStart w:id="126" w:name="_Toc94319118"/>
      <w:bookmarkStart w:id="127" w:name="_Toc94319158"/>
      <w:bookmarkStart w:id="128" w:name="_Toc94319326"/>
      <w:bookmarkStart w:id="129" w:name="_Toc94321333"/>
      <w:r>
        <w:rPr>
          <w:rFonts w:hint="eastAsia"/>
        </w:rPr>
        <w:t>生产人员</w:t>
      </w:r>
      <w:bookmarkEnd w:id="126"/>
      <w:bookmarkEnd w:id="127"/>
      <w:bookmarkEnd w:id="128"/>
      <w:bookmarkEnd w:id="129"/>
    </w:p>
    <w:p>
      <w:pPr>
        <w:pStyle w:val="65"/>
        <w:spacing w:before="156" w:after="156"/>
        <w:ind w:left="0"/>
        <w:rPr>
          <w:rFonts w:ascii="宋体" w:eastAsia="宋体"/>
        </w:rPr>
      </w:pPr>
      <w:r>
        <w:rPr>
          <w:rFonts w:hint="eastAsia" w:ascii="宋体" w:eastAsia="宋体"/>
        </w:rPr>
        <w:t>持有农业农村主管部门颁发的养蜂证，并按时接受行业管理服务机构、组织的技术培训。</w:t>
      </w:r>
    </w:p>
    <w:p>
      <w:pPr>
        <w:pStyle w:val="65"/>
        <w:spacing w:before="156" w:after="156"/>
        <w:ind w:left="0"/>
        <w:rPr>
          <w:rFonts w:ascii="宋体" w:eastAsia="宋体"/>
        </w:rPr>
      </w:pPr>
      <w:r>
        <w:rPr>
          <w:rFonts w:hint="eastAsia" w:ascii="宋体" w:eastAsia="宋体"/>
        </w:rPr>
        <w:t>身体健康，无传染性疾病；每年至少体检1次，体检合格后方可从事蜂蜜生产。</w:t>
      </w:r>
    </w:p>
    <w:p>
      <w:pPr>
        <w:pStyle w:val="104"/>
        <w:spacing w:before="312" w:after="312"/>
      </w:pPr>
      <w:bookmarkStart w:id="130" w:name="_Toc94319119"/>
      <w:bookmarkStart w:id="131" w:name="_Toc94319159"/>
      <w:bookmarkStart w:id="132" w:name="_Toc94319327"/>
      <w:bookmarkStart w:id="133" w:name="_Toc94321334"/>
      <w:bookmarkStart w:id="134" w:name="_Toc94321622"/>
      <w:r>
        <w:rPr>
          <w:rFonts w:hint="eastAsia"/>
        </w:rPr>
        <w:t>培育适龄采集蜂</w:t>
      </w:r>
      <w:bookmarkEnd w:id="130"/>
      <w:bookmarkEnd w:id="131"/>
      <w:bookmarkEnd w:id="132"/>
      <w:bookmarkEnd w:id="133"/>
      <w:bookmarkEnd w:id="134"/>
    </w:p>
    <w:p>
      <w:pPr>
        <w:pStyle w:val="105"/>
        <w:spacing w:before="156" w:after="156"/>
        <w:ind w:left="0"/>
      </w:pPr>
      <w:bookmarkStart w:id="135" w:name="_Toc94319120"/>
      <w:bookmarkStart w:id="136" w:name="_Toc94319160"/>
      <w:bookmarkStart w:id="137" w:name="_Toc94319328"/>
      <w:bookmarkStart w:id="138" w:name="_Toc94321335"/>
      <w:r>
        <w:rPr>
          <w:rFonts w:hint="eastAsia"/>
        </w:rPr>
        <w:t>时间</w:t>
      </w:r>
      <w:bookmarkEnd w:id="135"/>
      <w:bookmarkEnd w:id="136"/>
      <w:bookmarkEnd w:id="137"/>
      <w:bookmarkEnd w:id="138"/>
    </w:p>
    <w:p>
      <w:pPr>
        <w:pStyle w:val="162"/>
        <w:numPr>
          <w:ilvl w:val="0"/>
          <w:numId w:val="0"/>
        </w:numPr>
        <w:ind w:firstLine="420" w:firstLineChars="200"/>
      </w:pPr>
      <w:r>
        <w:rPr>
          <w:rFonts w:hint="eastAsia"/>
        </w:rPr>
        <w:t>在当地主要蜜源植物流蜜前45天左右、即6月中旬开始培育适龄采集蜂。</w:t>
      </w:r>
    </w:p>
    <w:p>
      <w:pPr>
        <w:pStyle w:val="105"/>
        <w:spacing w:before="156" w:after="156"/>
        <w:ind w:left="0"/>
      </w:pPr>
      <w:bookmarkStart w:id="139" w:name="_Toc94319121"/>
      <w:bookmarkStart w:id="140" w:name="_Toc94319161"/>
      <w:bookmarkStart w:id="141" w:name="_Toc94319329"/>
      <w:bookmarkStart w:id="142" w:name="_Toc94321336"/>
      <w:r>
        <w:rPr>
          <w:rFonts w:hint="eastAsia"/>
        </w:rPr>
        <w:t>饲喂</w:t>
      </w:r>
      <w:bookmarkEnd w:id="139"/>
      <w:bookmarkEnd w:id="140"/>
      <w:bookmarkEnd w:id="141"/>
      <w:bookmarkEnd w:id="142"/>
    </w:p>
    <w:p>
      <w:pPr>
        <w:pStyle w:val="65"/>
        <w:spacing w:before="156" w:after="156"/>
        <w:ind w:left="0"/>
        <w:rPr>
          <w:rFonts w:ascii="宋体" w:eastAsia="宋体"/>
        </w:rPr>
      </w:pPr>
      <w:r>
        <w:rPr>
          <w:rFonts w:hint="eastAsia" w:ascii="宋体" w:eastAsia="宋体"/>
        </w:rPr>
        <w:t>视蜂群饲料储存及消耗情况，巢内饲料不足且外界蜜粉源无法满足蜂群需要时，进行补充饲喂。为激励蜂王产卵、加速蜂群繁殖，可进行奖励饲喂。</w:t>
      </w:r>
    </w:p>
    <w:p>
      <w:pPr>
        <w:pStyle w:val="65"/>
        <w:spacing w:before="156" w:after="156"/>
        <w:ind w:left="0"/>
        <w:rPr>
          <w:rFonts w:ascii="宋体" w:eastAsia="宋体"/>
        </w:rPr>
      </w:pPr>
      <w:r>
        <w:rPr>
          <w:rFonts w:hint="eastAsia" w:ascii="宋体" w:eastAsia="宋体"/>
        </w:rPr>
        <w:t xml:space="preserve">饲喂所用的蜂蜜应采自健康蜂群，配制糖浆所用的白砂糖应符合 </w:t>
      </w:r>
      <w:r>
        <w:rPr>
          <w:rFonts w:hint="eastAsia" w:ascii="Times New Roman" w:eastAsia="宋体"/>
        </w:rPr>
        <w:t>GB/T 317</w:t>
      </w:r>
      <w:r>
        <w:rPr>
          <w:rFonts w:hint="eastAsia" w:ascii="宋体" w:eastAsia="宋体"/>
        </w:rPr>
        <w:t>的要求，蜂花粉应符合</w:t>
      </w:r>
      <w:r>
        <w:rPr>
          <w:rFonts w:hint="eastAsia" w:ascii="Times New Roman" w:eastAsia="宋体"/>
        </w:rPr>
        <w:t>NY 5137</w:t>
      </w:r>
      <w:r>
        <w:rPr>
          <w:rFonts w:hint="eastAsia" w:ascii="宋体" w:eastAsia="宋体"/>
        </w:rPr>
        <w:t>卫生标准。</w:t>
      </w:r>
    </w:p>
    <w:p>
      <w:pPr>
        <w:pStyle w:val="65"/>
        <w:spacing w:before="156" w:after="156"/>
        <w:ind w:left="0"/>
        <w:rPr>
          <w:rFonts w:ascii="宋体" w:eastAsia="宋体"/>
        </w:rPr>
      </w:pPr>
      <w:r>
        <w:rPr>
          <w:rFonts w:hint="eastAsia" w:ascii="宋体" w:eastAsia="宋体"/>
        </w:rPr>
        <w:t>来源不明的蜂蜜、蜂花粉或花粉代用品，饲喂前应经过灭菌处理。</w:t>
      </w:r>
    </w:p>
    <w:p>
      <w:pPr>
        <w:pStyle w:val="65"/>
        <w:spacing w:before="156" w:after="156"/>
        <w:ind w:left="0"/>
        <w:rPr>
          <w:rFonts w:ascii="宋体" w:eastAsia="宋体"/>
        </w:rPr>
      </w:pPr>
      <w:r>
        <w:rPr>
          <w:rFonts w:hint="eastAsia" w:ascii="宋体" w:eastAsia="宋体"/>
        </w:rPr>
        <w:t>饲喂用其他辅助饲料应无污染、无霉变、无有害药物残留。</w:t>
      </w:r>
    </w:p>
    <w:p>
      <w:pPr>
        <w:pStyle w:val="105"/>
        <w:spacing w:before="156" w:after="156"/>
        <w:ind w:left="0"/>
      </w:pPr>
      <w:bookmarkStart w:id="143" w:name="_Toc94319122"/>
      <w:bookmarkStart w:id="144" w:name="_Toc94319162"/>
      <w:bookmarkStart w:id="145" w:name="_Toc94319330"/>
      <w:bookmarkStart w:id="146" w:name="_Toc94321337"/>
      <w:r>
        <w:rPr>
          <w:rFonts w:hint="eastAsia"/>
        </w:rPr>
        <w:t>均衡群势，消除分蜂热</w:t>
      </w:r>
      <w:bookmarkEnd w:id="143"/>
      <w:bookmarkEnd w:id="144"/>
      <w:bookmarkEnd w:id="145"/>
      <w:bookmarkEnd w:id="146"/>
    </w:p>
    <w:p>
      <w:pPr>
        <w:pStyle w:val="65"/>
        <w:spacing w:before="156" w:after="156"/>
        <w:ind w:left="0"/>
        <w:rPr>
          <w:rFonts w:ascii="宋体" w:eastAsia="宋体"/>
        </w:rPr>
      </w:pPr>
      <w:r>
        <w:rPr>
          <w:rFonts w:hint="eastAsia" w:ascii="宋体" w:eastAsia="宋体"/>
        </w:rPr>
        <w:t>按照群势抑强扶弱的原则在场内蜂群间调脾，将强群内部分封盖子脾调入弱群、弱群内部分卵虫脾调入强群，调节群内子脾的比例，帮助弱群加速繁殖，释放强群剩余哺育力。</w:t>
      </w:r>
    </w:p>
    <w:p>
      <w:pPr>
        <w:pStyle w:val="65"/>
        <w:spacing w:before="156" w:after="156"/>
        <w:ind w:left="0"/>
        <w:rPr>
          <w:rFonts w:ascii="宋体" w:eastAsia="宋体"/>
        </w:rPr>
      </w:pPr>
      <w:r>
        <w:rPr>
          <w:rFonts w:hint="eastAsia" w:ascii="宋体" w:eastAsia="宋体"/>
        </w:rPr>
        <w:t>外界气温较高时扩大巢门，加空脾扩展蜂群活动空间，加强通风；气温高于30℃时，做好蜂箱遮荫及洒水散热降温。</w:t>
      </w:r>
    </w:p>
    <w:p>
      <w:pPr>
        <w:pStyle w:val="65"/>
        <w:spacing w:before="156" w:after="156"/>
        <w:ind w:left="0"/>
        <w:rPr>
          <w:rFonts w:ascii="宋体" w:eastAsia="宋体"/>
        </w:rPr>
      </w:pPr>
      <w:r>
        <w:rPr>
          <w:rFonts w:hint="eastAsia" w:ascii="宋体" w:eastAsia="宋体"/>
        </w:rPr>
        <w:t>定期全面检查，毁净自然王台</w:t>
      </w:r>
      <w:bookmarkStart w:id="147" w:name="_Hlk94315246"/>
      <w:r>
        <w:rPr>
          <w:rFonts w:hint="eastAsia" w:ascii="宋体" w:eastAsia="宋体"/>
        </w:rPr>
        <w:t>，</w:t>
      </w:r>
      <w:bookmarkEnd w:id="147"/>
      <w:r>
        <w:rPr>
          <w:rFonts w:hint="eastAsia" w:ascii="宋体" w:eastAsia="宋体"/>
        </w:rPr>
        <w:t>防止自然分蜂。</w:t>
      </w:r>
    </w:p>
    <w:p>
      <w:pPr>
        <w:pStyle w:val="105"/>
        <w:spacing w:before="156" w:after="156"/>
        <w:ind w:left="0"/>
      </w:pPr>
      <w:bookmarkStart w:id="148" w:name="_Toc94319123"/>
      <w:bookmarkStart w:id="149" w:name="_Toc94319163"/>
      <w:bookmarkStart w:id="150" w:name="_Toc94319331"/>
      <w:bookmarkStart w:id="151" w:name="_Toc94321338"/>
      <w:r>
        <w:rPr>
          <w:rFonts w:hint="eastAsia"/>
        </w:rPr>
        <w:t>防治蜂螨</w:t>
      </w:r>
      <w:bookmarkEnd w:id="148"/>
      <w:bookmarkEnd w:id="149"/>
      <w:bookmarkEnd w:id="150"/>
      <w:bookmarkEnd w:id="151"/>
    </w:p>
    <w:p>
      <w:pPr>
        <w:pStyle w:val="162"/>
        <w:numPr>
          <w:ilvl w:val="0"/>
          <w:numId w:val="0"/>
        </w:numPr>
        <w:ind w:firstLine="420" w:firstLineChars="200"/>
      </w:pPr>
      <w:r>
        <w:rPr>
          <w:rFonts w:hint="eastAsia"/>
        </w:rPr>
        <w:t>按照</w:t>
      </w:r>
      <w:r>
        <w:rPr>
          <w:rFonts w:hint="eastAsia" w:ascii="Times New Roman"/>
        </w:rPr>
        <w:t>GB/T 19168</w:t>
      </w:r>
      <w:r>
        <w:rPr>
          <w:rFonts w:hint="eastAsia"/>
        </w:rPr>
        <w:t>执行，采用螨扑挂脾、升华硫箱底喷撒或脾面涂抹、甲酸制剂或草酸溶液喷施等方式，必要时人为断子，强化治螨效果。</w:t>
      </w:r>
    </w:p>
    <w:p>
      <w:pPr>
        <w:pStyle w:val="104"/>
        <w:spacing w:before="312" w:after="312"/>
      </w:pPr>
      <w:bookmarkStart w:id="152" w:name="_Toc94319124"/>
      <w:bookmarkStart w:id="153" w:name="_Toc94319164"/>
      <w:bookmarkStart w:id="154" w:name="_Toc94319332"/>
      <w:bookmarkStart w:id="155" w:name="_Toc94321339"/>
      <w:bookmarkStart w:id="156" w:name="_Toc94321623"/>
      <w:r>
        <w:rPr>
          <w:rFonts w:hint="eastAsia"/>
        </w:rPr>
        <w:t>生产期蜂群管理</w:t>
      </w:r>
      <w:bookmarkEnd w:id="152"/>
      <w:bookmarkEnd w:id="153"/>
      <w:bookmarkEnd w:id="154"/>
      <w:bookmarkEnd w:id="155"/>
      <w:bookmarkEnd w:id="156"/>
    </w:p>
    <w:p>
      <w:pPr>
        <w:pStyle w:val="105"/>
        <w:spacing w:before="156" w:after="156"/>
        <w:ind w:left="0"/>
      </w:pPr>
      <w:bookmarkStart w:id="157" w:name="_Toc94319125"/>
      <w:bookmarkStart w:id="158" w:name="_Toc94319165"/>
      <w:bookmarkStart w:id="159" w:name="_Toc94319333"/>
      <w:bookmarkStart w:id="160" w:name="_Toc94321340"/>
      <w:r>
        <w:rPr>
          <w:rFonts w:hint="eastAsia"/>
        </w:rPr>
        <w:t>总</w:t>
      </w:r>
      <w:bookmarkEnd w:id="157"/>
      <w:bookmarkEnd w:id="158"/>
      <w:bookmarkEnd w:id="159"/>
      <w:r>
        <w:rPr>
          <w:rFonts w:hint="eastAsia"/>
        </w:rPr>
        <w:t>则</w:t>
      </w:r>
      <w:bookmarkEnd w:id="160"/>
    </w:p>
    <w:p>
      <w:pPr>
        <w:pStyle w:val="65"/>
        <w:spacing w:before="156" w:after="156"/>
        <w:ind w:left="0"/>
        <w:rPr>
          <w:rFonts w:ascii="宋体" w:eastAsia="宋体"/>
        </w:rPr>
      </w:pPr>
      <w:r>
        <w:rPr>
          <w:rFonts w:hint="eastAsia" w:ascii="宋体" w:eastAsia="宋体"/>
        </w:rPr>
        <w:t>患病蜂群不应用于蜂蜜生产。</w:t>
      </w:r>
    </w:p>
    <w:p>
      <w:pPr>
        <w:pStyle w:val="65"/>
        <w:spacing w:before="156" w:after="156"/>
        <w:ind w:left="0"/>
        <w:rPr>
          <w:rFonts w:ascii="宋体" w:eastAsia="宋体"/>
        </w:rPr>
      </w:pPr>
      <w:r>
        <w:rPr>
          <w:rFonts w:hint="eastAsia" w:ascii="宋体" w:eastAsia="宋体"/>
        </w:rPr>
        <w:t>蜂蜜生产期，生产群不应使用任何药物。</w:t>
      </w:r>
    </w:p>
    <w:p>
      <w:pPr>
        <w:pStyle w:val="65"/>
        <w:spacing w:before="156" w:after="156"/>
        <w:ind w:left="0"/>
        <w:rPr>
          <w:rFonts w:ascii="宋体" w:eastAsia="宋体"/>
        </w:rPr>
      </w:pPr>
      <w:r>
        <w:rPr>
          <w:rFonts w:hint="eastAsia" w:ascii="宋体" w:eastAsia="宋体"/>
        </w:rPr>
        <w:t>生产商品蜜前，应进行清脾。取出生产群箱内所有蜂蜜、糖浆类饲料及前期已采集并储存于箱内的不属于伊犁山花蜜的蜂蜜，避免混入伊犁山花商品蜜中造成混杂或污染。取出的饲料或蜂蜜可在流蜜期结束后，蜂群秋繁或越冬时作为饲料。</w:t>
      </w:r>
    </w:p>
    <w:p>
      <w:pPr>
        <w:pStyle w:val="65"/>
        <w:spacing w:before="156" w:after="156"/>
        <w:ind w:left="0"/>
        <w:rPr>
          <w:rFonts w:ascii="宋体" w:eastAsia="宋体"/>
        </w:rPr>
      </w:pPr>
      <w:r>
        <w:rPr>
          <w:rFonts w:hint="eastAsia" w:ascii="宋体" w:eastAsia="宋体"/>
        </w:rPr>
        <w:t>采用多箱体生产，使用隔王板将巢箱的繁殖区与继箱的采蜜区分隔开，生产成熟蜜。</w:t>
      </w:r>
    </w:p>
    <w:p>
      <w:pPr>
        <w:pStyle w:val="65"/>
        <w:spacing w:before="156" w:after="156"/>
        <w:ind w:left="0"/>
        <w:rPr>
          <w:rFonts w:ascii="宋体" w:eastAsia="宋体"/>
        </w:rPr>
      </w:pPr>
      <w:r>
        <w:rPr>
          <w:rFonts w:hint="eastAsia" w:ascii="宋体" w:eastAsia="宋体"/>
        </w:rPr>
        <w:t>蜂蜜的生产技术应符合</w:t>
      </w:r>
      <w:r>
        <w:rPr>
          <w:rFonts w:hint="eastAsia" w:ascii="Times New Roman" w:eastAsia="宋体"/>
        </w:rPr>
        <w:t>NY/T 639</w:t>
      </w:r>
      <w:r>
        <w:rPr>
          <w:rFonts w:hint="eastAsia" w:ascii="宋体" w:eastAsia="宋体"/>
        </w:rPr>
        <w:t>的规定。</w:t>
      </w:r>
    </w:p>
    <w:p>
      <w:pPr>
        <w:pStyle w:val="105"/>
        <w:spacing w:before="156" w:after="156"/>
        <w:ind w:left="0"/>
      </w:pPr>
      <w:bookmarkStart w:id="161" w:name="_Toc94319126"/>
      <w:bookmarkStart w:id="162" w:name="_Toc94319166"/>
      <w:bookmarkStart w:id="163" w:name="_Toc94319334"/>
      <w:bookmarkStart w:id="164" w:name="_Toc94321341"/>
      <w:r>
        <w:rPr>
          <w:rFonts w:hint="eastAsia"/>
        </w:rPr>
        <w:t>把握群势</w:t>
      </w:r>
      <w:bookmarkEnd w:id="161"/>
      <w:bookmarkEnd w:id="162"/>
      <w:bookmarkEnd w:id="163"/>
      <w:bookmarkEnd w:id="164"/>
    </w:p>
    <w:p>
      <w:pPr>
        <w:pStyle w:val="105"/>
        <w:numPr>
          <w:ilvl w:val="0"/>
          <w:numId w:val="0"/>
        </w:numPr>
        <w:spacing w:before="156" w:after="156"/>
        <w:ind w:firstLine="420" w:firstLineChars="200"/>
        <w:outlineLvl w:val="9"/>
        <w:rPr>
          <w:rFonts w:ascii="宋体" w:eastAsia="宋体"/>
        </w:rPr>
      </w:pPr>
      <w:bookmarkStart w:id="165" w:name="_Toc94319127"/>
      <w:bookmarkStart w:id="166" w:name="_Toc94319167"/>
      <w:bookmarkStart w:id="167" w:name="_Toc94319335"/>
      <w:bookmarkStart w:id="168" w:name="_Toc94321342"/>
      <w:r>
        <w:rPr>
          <w:rFonts w:hint="eastAsia" w:ascii="宋体" w:eastAsia="宋体"/>
        </w:rPr>
        <w:t>流蜜期补充蛹脾延续群势，流蜜期后促王繁殖恢复群势。</w:t>
      </w:r>
      <w:bookmarkEnd w:id="165"/>
      <w:bookmarkEnd w:id="166"/>
      <w:bookmarkEnd w:id="167"/>
      <w:bookmarkEnd w:id="168"/>
    </w:p>
    <w:p>
      <w:pPr>
        <w:pStyle w:val="105"/>
        <w:spacing w:before="156" w:after="156"/>
        <w:ind w:left="0"/>
      </w:pPr>
      <w:bookmarkStart w:id="169" w:name="_Toc94319128"/>
      <w:bookmarkStart w:id="170" w:name="_Toc94319168"/>
      <w:bookmarkStart w:id="171" w:name="_Toc94319336"/>
      <w:bookmarkStart w:id="172" w:name="_Toc94321343"/>
      <w:r>
        <w:rPr>
          <w:rFonts w:hint="eastAsia"/>
        </w:rPr>
        <w:t>强弱搭配</w:t>
      </w:r>
      <w:bookmarkEnd w:id="169"/>
      <w:bookmarkEnd w:id="170"/>
      <w:bookmarkEnd w:id="171"/>
      <w:bookmarkEnd w:id="172"/>
    </w:p>
    <w:p>
      <w:pPr>
        <w:pStyle w:val="105"/>
        <w:numPr>
          <w:ilvl w:val="0"/>
          <w:numId w:val="0"/>
        </w:numPr>
        <w:spacing w:before="156" w:after="156"/>
        <w:ind w:firstLine="420" w:firstLineChars="200"/>
        <w:outlineLvl w:val="9"/>
        <w:rPr>
          <w:rFonts w:ascii="宋体" w:eastAsia="宋体"/>
        </w:rPr>
      </w:pPr>
      <w:bookmarkStart w:id="173" w:name="_Toc94319129"/>
      <w:bookmarkStart w:id="174" w:name="_Toc94319169"/>
      <w:bookmarkStart w:id="175" w:name="_Toc94319337"/>
      <w:bookmarkStart w:id="176" w:name="_Toc94321344"/>
      <w:r>
        <w:rPr>
          <w:rFonts w:hint="eastAsia" w:ascii="宋体" w:eastAsia="宋体"/>
        </w:rPr>
        <w:t>在蜜源植物流蜜期间，组织强群取蜜，弱群繁殖；新王群取蜜，老王群繁殖；单王群生产，双王群繁殖。将弱群里正出房的子脾补给生产群以维持强群。</w:t>
      </w:r>
      <w:bookmarkEnd w:id="173"/>
      <w:bookmarkEnd w:id="174"/>
      <w:bookmarkEnd w:id="175"/>
      <w:bookmarkEnd w:id="176"/>
    </w:p>
    <w:p>
      <w:pPr>
        <w:pStyle w:val="105"/>
        <w:spacing w:before="156" w:after="156"/>
        <w:ind w:left="0"/>
      </w:pPr>
      <w:bookmarkStart w:id="177" w:name="_Toc94319130"/>
      <w:bookmarkStart w:id="178" w:name="_Toc94319170"/>
      <w:bookmarkStart w:id="179" w:name="_Toc94319338"/>
      <w:bookmarkStart w:id="180" w:name="_Toc94321345"/>
      <w:r>
        <w:rPr>
          <w:rFonts w:hint="eastAsia"/>
        </w:rPr>
        <w:t>限制产卵</w:t>
      </w:r>
      <w:bookmarkEnd w:id="177"/>
      <w:bookmarkEnd w:id="178"/>
      <w:bookmarkEnd w:id="179"/>
      <w:bookmarkEnd w:id="180"/>
    </w:p>
    <w:p>
      <w:pPr>
        <w:pStyle w:val="56"/>
        <w:ind w:firstLine="420"/>
      </w:pPr>
      <w:r>
        <w:rPr>
          <w:rFonts w:hint="eastAsia"/>
        </w:rPr>
        <w:t>在流蜜期前10天左右、即7月20日前后开始限制蜂王产卵，适当控制生产群卵虫的数量，直到流蜜期结束为止，集中工蜂力量采蜜和酿蜜，解决生产与繁殖用蜂矛盾。</w:t>
      </w:r>
    </w:p>
    <w:p>
      <w:pPr>
        <w:pStyle w:val="105"/>
        <w:spacing w:before="156" w:after="156"/>
        <w:ind w:left="0"/>
      </w:pPr>
      <w:bookmarkStart w:id="181" w:name="_Toc94319131"/>
      <w:bookmarkStart w:id="182" w:name="_Toc94319171"/>
      <w:bookmarkStart w:id="183" w:name="_Toc94319339"/>
      <w:bookmarkStart w:id="184" w:name="_Toc94321346"/>
      <w:r>
        <w:rPr>
          <w:rFonts w:hint="eastAsia"/>
        </w:rPr>
        <w:t>预防分蜂</w:t>
      </w:r>
      <w:bookmarkEnd w:id="181"/>
      <w:bookmarkEnd w:id="182"/>
      <w:bookmarkEnd w:id="183"/>
      <w:bookmarkEnd w:id="184"/>
    </w:p>
    <w:p>
      <w:pPr>
        <w:pStyle w:val="56"/>
        <w:ind w:firstLine="420"/>
      </w:pPr>
      <w:r>
        <w:rPr>
          <w:rFonts w:hint="eastAsia"/>
        </w:rPr>
        <w:t>采取遮荫、通风、扩巢等措施预防分蜂热，保持蜂群采集积极性。</w:t>
      </w:r>
    </w:p>
    <w:p>
      <w:pPr>
        <w:pStyle w:val="105"/>
        <w:spacing w:before="156" w:after="156"/>
        <w:ind w:left="0"/>
      </w:pPr>
      <w:bookmarkStart w:id="185" w:name="_Toc94319132"/>
      <w:bookmarkStart w:id="186" w:name="_Toc94319172"/>
      <w:bookmarkStart w:id="187" w:name="_Toc94319340"/>
      <w:bookmarkStart w:id="188" w:name="_Toc94321347"/>
      <w:r>
        <w:rPr>
          <w:rFonts w:hint="eastAsia"/>
        </w:rPr>
        <w:t>防治病虫害</w:t>
      </w:r>
      <w:bookmarkEnd w:id="185"/>
      <w:bookmarkEnd w:id="186"/>
      <w:bookmarkEnd w:id="187"/>
      <w:bookmarkEnd w:id="188"/>
    </w:p>
    <w:p>
      <w:pPr>
        <w:pStyle w:val="56"/>
        <w:ind w:firstLine="420"/>
        <w:rPr>
          <w:rFonts w:hAnsiTheme="minorHAnsi"/>
        </w:rPr>
      </w:pPr>
      <w:r>
        <w:rPr>
          <w:rFonts w:hint="eastAsia" w:hAnsiTheme="minorHAnsi"/>
        </w:rPr>
        <w:t>蜜蜂病虫害的防治按照</w:t>
      </w:r>
      <w:r>
        <w:rPr>
          <w:rFonts w:hint="eastAsia" w:ascii="Times New Roman"/>
        </w:rPr>
        <w:t>GB/T19168</w:t>
      </w:r>
      <w:r>
        <w:rPr>
          <w:rFonts w:hint="eastAsia" w:hAnsiTheme="minorHAnsi"/>
        </w:rPr>
        <w:t>执行。</w:t>
      </w:r>
    </w:p>
    <w:p>
      <w:pPr>
        <w:pStyle w:val="104"/>
        <w:spacing w:before="312" w:after="312"/>
      </w:pPr>
      <w:bookmarkStart w:id="189" w:name="_Toc94319133"/>
      <w:bookmarkStart w:id="190" w:name="_Toc94319173"/>
      <w:bookmarkStart w:id="191" w:name="_Toc94319341"/>
      <w:bookmarkStart w:id="192" w:name="_Toc94321348"/>
      <w:bookmarkStart w:id="193" w:name="_Toc94321624"/>
      <w:r>
        <w:rPr>
          <w:rFonts w:hint="eastAsia"/>
        </w:rPr>
        <w:t>蜂蜜采收要求</w:t>
      </w:r>
      <w:bookmarkEnd w:id="189"/>
      <w:bookmarkEnd w:id="190"/>
      <w:bookmarkEnd w:id="191"/>
      <w:bookmarkEnd w:id="192"/>
      <w:bookmarkEnd w:id="193"/>
    </w:p>
    <w:p>
      <w:pPr>
        <w:pStyle w:val="105"/>
        <w:spacing w:before="156" w:after="156"/>
        <w:ind w:left="0"/>
        <w:rPr>
          <w:rFonts w:ascii="宋体" w:eastAsia="宋体"/>
        </w:rPr>
      </w:pPr>
      <w:bookmarkStart w:id="194" w:name="_Toc94319134"/>
      <w:bookmarkStart w:id="195" w:name="_Toc94319174"/>
      <w:bookmarkStart w:id="196" w:name="_Toc94319342"/>
      <w:bookmarkStart w:id="197" w:name="_Toc94321349"/>
      <w:r>
        <w:rPr>
          <w:rFonts w:hint="eastAsia" w:ascii="宋体" w:eastAsia="宋体"/>
        </w:rPr>
        <w:t>蜜脾脾面1/3以上储蜜巢房封盖、蜂蜜浓度高于42波美度时取蜜。</w:t>
      </w:r>
      <w:bookmarkEnd w:id="194"/>
      <w:bookmarkEnd w:id="195"/>
      <w:bookmarkEnd w:id="196"/>
      <w:bookmarkEnd w:id="197"/>
    </w:p>
    <w:p>
      <w:pPr>
        <w:pStyle w:val="105"/>
        <w:spacing w:before="156" w:after="156"/>
        <w:ind w:left="0"/>
        <w:rPr>
          <w:rFonts w:ascii="宋体" w:eastAsia="宋体"/>
        </w:rPr>
      </w:pPr>
      <w:bookmarkStart w:id="198" w:name="_Toc94319135"/>
      <w:bookmarkStart w:id="199" w:name="_Toc94319175"/>
      <w:bookmarkStart w:id="200" w:name="_Toc94319343"/>
      <w:bookmarkStart w:id="201" w:name="_Toc94321350"/>
      <w:r>
        <w:rPr>
          <w:rFonts w:hint="eastAsia" w:ascii="宋体" w:eastAsia="宋体"/>
        </w:rPr>
        <w:t>根据蜂群群势、气候及外界蜜源流蜜情况，间隔7－10天取蜜1次；上午进行采收作业，在采集蜂大量采蜜返回蜂巢前停止。</w:t>
      </w:r>
      <w:bookmarkEnd w:id="198"/>
      <w:bookmarkEnd w:id="199"/>
      <w:bookmarkEnd w:id="200"/>
      <w:bookmarkEnd w:id="201"/>
    </w:p>
    <w:p>
      <w:pPr>
        <w:pStyle w:val="105"/>
        <w:spacing w:before="156" w:after="156"/>
        <w:ind w:left="0"/>
        <w:rPr>
          <w:rFonts w:ascii="宋体" w:eastAsia="宋体"/>
        </w:rPr>
      </w:pPr>
      <w:bookmarkStart w:id="202" w:name="_Toc94319136"/>
      <w:bookmarkStart w:id="203" w:name="_Toc94319176"/>
      <w:bookmarkStart w:id="204" w:name="_Toc94319344"/>
      <w:bookmarkStart w:id="205" w:name="_Toc94321351"/>
      <w:r>
        <w:rPr>
          <w:rFonts w:hint="eastAsia" w:ascii="宋体" w:eastAsia="宋体"/>
        </w:rPr>
        <w:t>只取采蜜区的蜂蜜，不取繁殖区、特别是幼虫脾上的蜂蜜。</w:t>
      </w:r>
      <w:bookmarkEnd w:id="202"/>
      <w:bookmarkEnd w:id="203"/>
      <w:bookmarkEnd w:id="204"/>
      <w:bookmarkEnd w:id="205"/>
    </w:p>
    <w:p>
      <w:pPr>
        <w:pStyle w:val="105"/>
        <w:spacing w:before="156" w:after="156"/>
        <w:ind w:left="0"/>
        <w:rPr>
          <w:rFonts w:ascii="宋体" w:eastAsia="宋体"/>
        </w:rPr>
      </w:pPr>
      <w:bookmarkStart w:id="206" w:name="_Toc94319137"/>
      <w:bookmarkStart w:id="207" w:name="_Toc94319177"/>
      <w:bookmarkStart w:id="208" w:name="_Toc94319345"/>
      <w:bookmarkStart w:id="209" w:name="_Toc94321352"/>
      <w:r>
        <w:rPr>
          <w:rFonts w:hint="eastAsia" w:ascii="宋体" w:eastAsia="宋体"/>
        </w:rPr>
        <w:t>流蜜后期，做到少取蜜或不取蜜，巢内预留部分饲料。</w:t>
      </w:r>
      <w:bookmarkEnd w:id="206"/>
      <w:bookmarkEnd w:id="207"/>
      <w:bookmarkEnd w:id="208"/>
      <w:bookmarkEnd w:id="209"/>
    </w:p>
    <w:p>
      <w:pPr>
        <w:pStyle w:val="104"/>
        <w:spacing w:before="312" w:after="312"/>
      </w:pPr>
      <w:bookmarkStart w:id="210" w:name="_Toc94319138"/>
      <w:bookmarkStart w:id="211" w:name="_Toc94319178"/>
      <w:bookmarkStart w:id="212" w:name="_Toc94319346"/>
      <w:bookmarkStart w:id="213" w:name="_Toc94321353"/>
      <w:bookmarkStart w:id="214" w:name="_Toc94321625"/>
      <w:r>
        <w:rPr>
          <w:rFonts w:hint="eastAsia"/>
        </w:rPr>
        <w:t>取蜜前的准备</w:t>
      </w:r>
      <w:bookmarkEnd w:id="210"/>
      <w:bookmarkEnd w:id="211"/>
      <w:bookmarkEnd w:id="212"/>
      <w:bookmarkEnd w:id="213"/>
      <w:bookmarkEnd w:id="214"/>
    </w:p>
    <w:p>
      <w:pPr>
        <w:pStyle w:val="105"/>
        <w:spacing w:before="156" w:after="156"/>
        <w:ind w:left="0"/>
        <w:rPr>
          <w:rFonts w:ascii="宋体" w:eastAsia="宋体"/>
        </w:rPr>
      </w:pPr>
      <w:bookmarkStart w:id="215" w:name="_Toc94319139"/>
      <w:bookmarkStart w:id="216" w:name="_Toc94319179"/>
      <w:bookmarkStart w:id="217" w:name="_Toc94319347"/>
      <w:bookmarkStart w:id="218" w:name="_Toc94321354"/>
      <w:r>
        <w:rPr>
          <w:rFonts w:hint="eastAsia" w:ascii="宋体" w:eastAsia="宋体"/>
        </w:rPr>
        <w:t>取蜜房间或其他场所清扫干净、地面潮湿无灰尘、无蚊蝇。</w:t>
      </w:r>
      <w:bookmarkEnd w:id="215"/>
      <w:bookmarkEnd w:id="216"/>
      <w:bookmarkEnd w:id="217"/>
      <w:bookmarkEnd w:id="218"/>
    </w:p>
    <w:p>
      <w:pPr>
        <w:pStyle w:val="105"/>
        <w:spacing w:before="156" w:after="156"/>
        <w:ind w:left="0"/>
        <w:rPr>
          <w:rFonts w:ascii="宋体" w:eastAsia="宋体"/>
        </w:rPr>
      </w:pPr>
      <w:bookmarkStart w:id="219" w:name="_Toc94319140"/>
      <w:bookmarkStart w:id="220" w:name="_Toc94319180"/>
      <w:bookmarkStart w:id="221" w:name="_Toc94319348"/>
      <w:bookmarkStart w:id="222" w:name="_Toc94321355"/>
      <w:r>
        <w:rPr>
          <w:rFonts w:hint="eastAsia" w:ascii="宋体" w:eastAsia="宋体"/>
        </w:rPr>
        <w:t>取蜜人员操作前洗手消毒，取蜜用具和盛蜜容器要清洗、消毒并晾干。</w:t>
      </w:r>
      <w:bookmarkEnd w:id="219"/>
      <w:bookmarkEnd w:id="220"/>
      <w:bookmarkEnd w:id="221"/>
      <w:bookmarkEnd w:id="222"/>
    </w:p>
    <w:p>
      <w:pPr>
        <w:pStyle w:val="104"/>
        <w:spacing w:before="312" w:after="312"/>
      </w:pPr>
      <w:bookmarkStart w:id="223" w:name="_Toc94319141"/>
      <w:bookmarkStart w:id="224" w:name="_Toc94319181"/>
      <w:bookmarkStart w:id="225" w:name="_Toc94319349"/>
      <w:bookmarkStart w:id="226" w:name="_Toc94321356"/>
      <w:bookmarkStart w:id="227" w:name="_Toc94321626"/>
      <w:r>
        <w:rPr>
          <w:rFonts w:hint="eastAsia"/>
        </w:rPr>
        <w:t>取蜜</w:t>
      </w:r>
      <w:bookmarkEnd w:id="223"/>
      <w:bookmarkEnd w:id="224"/>
      <w:bookmarkEnd w:id="225"/>
      <w:bookmarkEnd w:id="226"/>
      <w:bookmarkEnd w:id="227"/>
    </w:p>
    <w:p>
      <w:pPr>
        <w:pStyle w:val="105"/>
        <w:spacing w:before="156" w:after="156"/>
        <w:ind w:left="0"/>
      </w:pPr>
      <w:bookmarkStart w:id="228" w:name="_Toc94319142"/>
      <w:bookmarkStart w:id="229" w:name="_Toc94319182"/>
      <w:bookmarkStart w:id="230" w:name="_Toc94319350"/>
      <w:bookmarkStart w:id="231" w:name="_Toc94321357"/>
      <w:r>
        <w:rPr>
          <w:rFonts w:hint="eastAsia"/>
        </w:rPr>
        <w:t>取蜜步骤</w:t>
      </w:r>
      <w:bookmarkEnd w:id="228"/>
      <w:bookmarkEnd w:id="229"/>
      <w:bookmarkEnd w:id="230"/>
      <w:bookmarkEnd w:id="231"/>
    </w:p>
    <w:p>
      <w:pPr>
        <w:pStyle w:val="65"/>
        <w:spacing w:before="156" w:after="156"/>
        <w:ind w:left="0"/>
      </w:pPr>
      <w:r>
        <w:rPr>
          <w:rFonts w:hint="eastAsia"/>
        </w:rPr>
        <w:t>脱蜂</w:t>
      </w:r>
    </w:p>
    <w:p>
      <w:pPr>
        <w:pStyle w:val="56"/>
        <w:ind w:firstLine="420"/>
      </w:pPr>
      <w:r>
        <w:rPr>
          <w:rFonts w:hint="eastAsia"/>
        </w:rPr>
        <w:t>使用吹蜂机、蜂刷等器具，驱离或抖落储蜜巢脾上附着的蜜蜂。</w:t>
      </w:r>
    </w:p>
    <w:p>
      <w:pPr>
        <w:pStyle w:val="65"/>
        <w:spacing w:before="156" w:after="156"/>
        <w:ind w:left="0"/>
      </w:pPr>
      <w:r>
        <w:rPr>
          <w:rFonts w:hint="eastAsia"/>
        </w:rPr>
        <w:t>切除蜜盖</w:t>
      </w:r>
    </w:p>
    <w:p>
      <w:pPr>
        <w:pStyle w:val="56"/>
        <w:ind w:firstLine="420"/>
      </w:pPr>
      <w:r>
        <w:rPr>
          <w:rFonts w:hint="eastAsia"/>
        </w:rPr>
        <w:t>用割蜜刀割掉已封盖储蜜巢房上的蜡盖。</w:t>
      </w:r>
    </w:p>
    <w:p>
      <w:pPr>
        <w:pStyle w:val="65"/>
        <w:spacing w:before="156" w:after="156"/>
        <w:ind w:left="0"/>
      </w:pPr>
      <w:r>
        <w:rPr>
          <w:rFonts w:hint="eastAsia"/>
        </w:rPr>
        <w:t>分离蜂蜜</w:t>
      </w:r>
    </w:p>
    <w:p>
      <w:pPr>
        <w:pStyle w:val="56"/>
        <w:ind w:firstLine="420"/>
        <w:rPr>
          <w:rFonts w:hint="eastAsia"/>
        </w:rPr>
      </w:pPr>
      <w:r>
        <w:rPr>
          <w:rFonts w:hint="eastAsia"/>
        </w:rPr>
        <w:t>用摇蜜机采取离心转动方式，把储蜜巢房内的蜂蜜分离出来。</w:t>
      </w:r>
    </w:p>
    <w:p>
      <w:pPr>
        <w:pStyle w:val="65"/>
        <w:spacing w:before="156" w:after="156"/>
        <w:ind w:left="0"/>
      </w:pPr>
      <w:r>
        <w:rPr>
          <w:rFonts w:hint="eastAsia"/>
        </w:rPr>
        <w:t>车间统一取蜜</w:t>
      </w:r>
    </w:p>
    <w:p>
      <w:pPr>
        <w:pStyle w:val="56"/>
        <w:ind w:firstLine="420"/>
        <w:rPr>
          <w:rFonts w:hint="eastAsia"/>
        </w:rPr>
      </w:pPr>
      <w:r>
        <w:rPr>
          <w:rFonts w:hint="eastAsia"/>
        </w:rPr>
        <w:t>使用自动机械切割蜜盖、分离蜂蜜时，可集中收集蜜脾，转运至车间后统一切除蜜盖、离心分离蜂蜜，提高效率，保证卫生。鼓励具备一定规模条件的蜂场、合作社、蜂企联合体等采用统一取蜜方式。</w:t>
      </w:r>
    </w:p>
    <w:p>
      <w:pPr>
        <w:pStyle w:val="65"/>
        <w:spacing w:before="156" w:after="156"/>
        <w:ind w:left="0"/>
      </w:pPr>
      <w:r>
        <w:rPr>
          <w:rFonts w:hint="eastAsia"/>
        </w:rPr>
        <w:t>分离蜂净化</w:t>
      </w:r>
    </w:p>
    <w:p>
      <w:pPr>
        <w:pStyle w:val="56"/>
        <w:ind w:firstLine="420"/>
      </w:pPr>
      <w:r>
        <w:rPr>
          <w:rFonts w:hint="eastAsia"/>
        </w:rPr>
        <w:t>在摇蜜机出口处安放双层过滤器，把过滤后的蜂蜜放在大口桶或敞口罐内静置澄清，24</w:t>
      </w:r>
      <w:r>
        <w:rPr>
          <w:rFonts w:hint="eastAsia" w:ascii="Times New Roman"/>
        </w:rPr>
        <w:t>h</w:t>
      </w:r>
      <w:r>
        <w:rPr>
          <w:rFonts w:hint="eastAsia"/>
        </w:rPr>
        <w:t>后，当蜡屑和泡沫浮在上面后，把上层表面的杂质去掉，然后将纯净的蜂蜜装入包装桶内。</w:t>
      </w:r>
    </w:p>
    <w:p>
      <w:pPr>
        <w:pStyle w:val="105"/>
        <w:spacing w:before="156" w:after="156"/>
        <w:ind w:left="0"/>
      </w:pPr>
      <w:bookmarkStart w:id="232" w:name="_Toc94321358"/>
      <w:r>
        <w:rPr>
          <w:rFonts w:hint="eastAsia"/>
        </w:rPr>
        <w:t>卫生要求</w:t>
      </w:r>
      <w:bookmarkEnd w:id="232"/>
    </w:p>
    <w:p>
      <w:pPr>
        <w:pStyle w:val="65"/>
        <w:spacing w:before="156" w:after="156"/>
        <w:ind w:left="0"/>
        <w:rPr>
          <w:rFonts w:hint="eastAsia" w:ascii="宋体" w:eastAsia="宋体"/>
        </w:rPr>
      </w:pPr>
      <w:r>
        <w:rPr>
          <w:rFonts w:hint="eastAsia" w:ascii="宋体" w:eastAsia="宋体"/>
        </w:rPr>
        <w:t xml:space="preserve">取蜜场所应清洁卫生。 </w:t>
      </w:r>
    </w:p>
    <w:p>
      <w:pPr>
        <w:pStyle w:val="65"/>
        <w:spacing w:before="156" w:after="156"/>
        <w:ind w:left="0"/>
        <w:rPr>
          <w:rFonts w:hint="eastAsia" w:ascii="宋体" w:eastAsia="宋体"/>
        </w:rPr>
      </w:pPr>
      <w:r>
        <w:rPr>
          <w:rFonts w:hint="eastAsia" w:ascii="宋体" w:eastAsia="宋体"/>
        </w:rPr>
        <w:t xml:space="preserve">取蜜时，蜜脾宜放置于空继箱内，避免直接与地面或其它可能的污染物接触。 </w:t>
      </w:r>
    </w:p>
    <w:p>
      <w:pPr>
        <w:pStyle w:val="65"/>
        <w:spacing w:before="156" w:after="156"/>
        <w:ind w:left="0"/>
        <w:rPr>
          <w:rFonts w:ascii="宋体" w:eastAsia="宋体"/>
        </w:rPr>
      </w:pPr>
      <w:r>
        <w:rPr>
          <w:rFonts w:hint="eastAsia" w:ascii="宋体" w:eastAsia="宋体"/>
        </w:rPr>
        <w:t>严格按照卫生标准操作规范(</w:t>
      </w:r>
      <w:r>
        <w:rPr>
          <w:rFonts w:hint="eastAsia" w:ascii="Times New Roman" w:eastAsia="宋体"/>
        </w:rPr>
        <w:t>SSOP</w:t>
      </w:r>
      <w:r>
        <w:rPr>
          <w:rFonts w:hint="eastAsia" w:ascii="宋体" w:eastAsia="宋体"/>
        </w:rPr>
        <w:t>)进行蜂蜜生产。</w:t>
      </w:r>
    </w:p>
    <w:p>
      <w:pPr>
        <w:pStyle w:val="104"/>
        <w:spacing w:before="312" w:after="312"/>
        <w:rPr>
          <w:rFonts w:hint="eastAsia"/>
        </w:rPr>
      </w:pPr>
      <w:bookmarkStart w:id="233" w:name="_Toc94321359"/>
      <w:bookmarkStart w:id="234" w:name="_Toc94321627"/>
      <w:r>
        <w:rPr>
          <w:rFonts w:hint="eastAsia"/>
        </w:rPr>
        <w:t>包装贮存运输</w:t>
      </w:r>
      <w:bookmarkEnd w:id="233"/>
      <w:bookmarkEnd w:id="234"/>
    </w:p>
    <w:p>
      <w:pPr>
        <w:pStyle w:val="105"/>
        <w:spacing w:before="156" w:after="156"/>
        <w:ind w:left="0"/>
        <w:rPr>
          <w:rFonts w:hint="eastAsia" w:ascii="宋体" w:eastAsia="宋体"/>
        </w:rPr>
      </w:pPr>
      <w:bookmarkStart w:id="235" w:name="_Toc94321360"/>
      <w:r>
        <w:rPr>
          <w:rFonts w:hint="eastAsia" w:ascii="宋体" w:eastAsia="宋体"/>
        </w:rPr>
        <w:t>采收的伊犁山花蜜宜单独场所贮存，避免混淆。</w:t>
      </w:r>
      <w:bookmarkEnd w:id="235"/>
    </w:p>
    <w:p>
      <w:pPr>
        <w:pStyle w:val="105"/>
        <w:spacing w:before="156" w:after="156"/>
        <w:ind w:left="0"/>
        <w:rPr>
          <w:rFonts w:ascii="宋体" w:eastAsia="宋体"/>
        </w:rPr>
      </w:pPr>
      <w:bookmarkStart w:id="236" w:name="_Toc94321361"/>
      <w:r>
        <w:rPr>
          <w:rFonts w:hint="eastAsia" w:ascii="宋体" w:eastAsia="宋体"/>
        </w:rPr>
        <w:t>蜂蜜包装、标签、贮存和运输符合</w:t>
      </w:r>
      <w:r>
        <w:rPr>
          <w:rFonts w:hint="eastAsia" w:ascii="Times New Roman" w:eastAsia="宋体"/>
        </w:rPr>
        <w:t>GB 18796-2012</w:t>
      </w:r>
      <w:r>
        <w:rPr>
          <w:rFonts w:hint="eastAsia" w:ascii="宋体" w:eastAsia="宋体"/>
        </w:rPr>
        <w:t>的规定。</w:t>
      </w:r>
      <w:bookmarkEnd w:id="236"/>
    </w:p>
    <w:p>
      <w:pPr>
        <w:pStyle w:val="56"/>
        <w:ind w:firstLine="420"/>
      </w:pPr>
    </w:p>
    <w:p>
      <w:pPr>
        <w:pStyle w:val="56"/>
        <w:ind w:firstLine="420"/>
      </w:pPr>
    </w:p>
    <w:bookmarkEnd w:id="29"/>
    <w:p>
      <w:pPr>
        <w:pStyle w:val="56"/>
        <w:ind w:firstLine="0" w:firstLineChars="0"/>
        <w:jc w:val="center"/>
        <w:rPr>
          <w:rFonts w:hint="eastAsia"/>
        </w:rPr>
      </w:pPr>
      <w:bookmarkStart w:id="237" w:name="BookMark8"/>
      <w:r>
        <w:rPr>
          <w:rFonts w:hint="eastAsia"/>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37"/>
    </w:p>
    <w:sectPr>
      <w:pgSz w:w="11906" w:h="16838"/>
      <w:pgMar w:top="2410"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宋体"/>
    <w:panose1 w:val="02010600030101010101"/>
    <w:charset w:val="86"/>
    <w:family w:val="auto"/>
    <w:pitch w:val="default"/>
    <w:sig w:usb0="00000000" w:usb1="00000000" w:usb2="00000016" w:usb3="00000000" w:csb0="0004000F" w:csb1="0000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r>
      <w:fldChar w:fldCharType="begin"/>
    </w:r>
    <w:r>
      <w:instrText xml:space="preserve"> STYLEREF  标准文件_文件编号  \* MERGEFORMAT </w:instrText>
    </w:r>
    <w:r>
      <w:fldChar w:fldCharType="separate"/>
    </w:r>
    <w:r>
      <w:t>DB 6540/T XXXX—2023</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6540/T XXXX—2023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198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288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Re0ZJY98G55uH9zNtCr1wSNpQH5D91DwVN+lPdbyIPCSxt3FF2KvmlSP48kTlO9wYy8F6JxnccfdZ40hza4tzA==" w:salt="11AjVaGuP6jLbDObJ9iNPw=="/>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3DBC"/>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068F"/>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07C"/>
    <w:rsid w:val="000619E9"/>
    <w:rsid w:val="000622D4"/>
    <w:rsid w:val="0006357D"/>
    <w:rsid w:val="00067F1E"/>
    <w:rsid w:val="00071CC0"/>
    <w:rsid w:val="00073C8C"/>
    <w:rsid w:val="000761A2"/>
    <w:rsid w:val="00077B64"/>
    <w:rsid w:val="00080A1C"/>
    <w:rsid w:val="00082317"/>
    <w:rsid w:val="00083D2C"/>
    <w:rsid w:val="00086AA1"/>
    <w:rsid w:val="00087A77"/>
    <w:rsid w:val="00090CA6"/>
    <w:rsid w:val="00092B8A"/>
    <w:rsid w:val="00092FB0"/>
    <w:rsid w:val="000934C5"/>
    <w:rsid w:val="00093D25"/>
    <w:rsid w:val="00093DAB"/>
    <w:rsid w:val="00094D73"/>
    <w:rsid w:val="00096697"/>
    <w:rsid w:val="00096D63"/>
    <w:rsid w:val="000A0B60"/>
    <w:rsid w:val="000A0EB8"/>
    <w:rsid w:val="000A19FC"/>
    <w:rsid w:val="000A296B"/>
    <w:rsid w:val="000A7311"/>
    <w:rsid w:val="000B060F"/>
    <w:rsid w:val="000B1592"/>
    <w:rsid w:val="000B1FF2"/>
    <w:rsid w:val="000B3CDA"/>
    <w:rsid w:val="000B6A0B"/>
    <w:rsid w:val="000B7246"/>
    <w:rsid w:val="000B7A6C"/>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06C5"/>
    <w:rsid w:val="000E26E9"/>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764"/>
    <w:rsid w:val="00176DFD"/>
    <w:rsid w:val="00181CAC"/>
    <w:rsid w:val="001852C9"/>
    <w:rsid w:val="00190087"/>
    <w:rsid w:val="001913C4"/>
    <w:rsid w:val="0019348F"/>
    <w:rsid w:val="00193A07"/>
    <w:rsid w:val="00194C95"/>
    <w:rsid w:val="00195C34"/>
    <w:rsid w:val="00196EF5"/>
    <w:rsid w:val="001A1A53"/>
    <w:rsid w:val="001A234A"/>
    <w:rsid w:val="001A4CF3"/>
    <w:rsid w:val="001B06E8"/>
    <w:rsid w:val="001B44FF"/>
    <w:rsid w:val="001B58FC"/>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6B0"/>
    <w:rsid w:val="00263D25"/>
    <w:rsid w:val="002643C3"/>
    <w:rsid w:val="00264A0C"/>
    <w:rsid w:val="00266EEB"/>
    <w:rsid w:val="00267EF4"/>
    <w:rsid w:val="00270CB8"/>
    <w:rsid w:val="00272B08"/>
    <w:rsid w:val="00281BB8"/>
    <w:rsid w:val="00281E9E"/>
    <w:rsid w:val="00282405"/>
    <w:rsid w:val="00285170"/>
    <w:rsid w:val="00285361"/>
    <w:rsid w:val="002862E8"/>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061B"/>
    <w:rsid w:val="002F30E0"/>
    <w:rsid w:val="002F35E4"/>
    <w:rsid w:val="002F3730"/>
    <w:rsid w:val="002F38E1"/>
    <w:rsid w:val="002F7AF6"/>
    <w:rsid w:val="00300E63"/>
    <w:rsid w:val="00302F5F"/>
    <w:rsid w:val="0030441D"/>
    <w:rsid w:val="00306063"/>
    <w:rsid w:val="00313B85"/>
    <w:rsid w:val="00317988"/>
    <w:rsid w:val="003203FB"/>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07E4"/>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168A0"/>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97BDC"/>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19A3"/>
    <w:rsid w:val="00512F6E"/>
    <w:rsid w:val="00513038"/>
    <w:rsid w:val="00514174"/>
    <w:rsid w:val="005151AB"/>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58C2"/>
    <w:rsid w:val="00586630"/>
    <w:rsid w:val="00587ADD"/>
    <w:rsid w:val="00590F15"/>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C1BBA"/>
    <w:rsid w:val="006C2079"/>
    <w:rsid w:val="006C2ED6"/>
    <w:rsid w:val="006C5A62"/>
    <w:rsid w:val="006C5D68"/>
    <w:rsid w:val="006C6976"/>
    <w:rsid w:val="006C6DD0"/>
    <w:rsid w:val="006D04EA"/>
    <w:rsid w:val="006D16C4"/>
    <w:rsid w:val="006D3E96"/>
    <w:rsid w:val="006D4515"/>
    <w:rsid w:val="006D4BB1"/>
    <w:rsid w:val="006D6593"/>
    <w:rsid w:val="006E23EA"/>
    <w:rsid w:val="006E3CF5"/>
    <w:rsid w:val="006F03A8"/>
    <w:rsid w:val="006F2ACA"/>
    <w:rsid w:val="006F2ADC"/>
    <w:rsid w:val="006F2BFE"/>
    <w:rsid w:val="006F31E9"/>
    <w:rsid w:val="006F6284"/>
    <w:rsid w:val="007002C5"/>
    <w:rsid w:val="00703673"/>
    <w:rsid w:val="0070437D"/>
    <w:rsid w:val="00704387"/>
    <w:rsid w:val="00707669"/>
    <w:rsid w:val="00711CBA"/>
    <w:rsid w:val="00711FB5"/>
    <w:rsid w:val="00712A01"/>
    <w:rsid w:val="00714F58"/>
    <w:rsid w:val="0072292B"/>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47E"/>
    <w:rsid w:val="007D2508"/>
    <w:rsid w:val="007D346A"/>
    <w:rsid w:val="007D6518"/>
    <w:rsid w:val="007D76BD"/>
    <w:rsid w:val="007E0BF1"/>
    <w:rsid w:val="007F0ED8"/>
    <w:rsid w:val="007F0F63"/>
    <w:rsid w:val="007F317D"/>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2C3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3DBC"/>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3277"/>
    <w:rsid w:val="009429D5"/>
    <w:rsid w:val="00942BF1"/>
    <w:rsid w:val="00945180"/>
    <w:rsid w:val="00945428"/>
    <w:rsid w:val="0094607B"/>
    <w:rsid w:val="00953604"/>
    <w:rsid w:val="0095496B"/>
    <w:rsid w:val="009610DC"/>
    <w:rsid w:val="00961490"/>
    <w:rsid w:val="0096381A"/>
    <w:rsid w:val="00965E04"/>
    <w:rsid w:val="009674AD"/>
    <w:rsid w:val="00970CDC"/>
    <w:rsid w:val="00972389"/>
    <w:rsid w:val="00977010"/>
    <w:rsid w:val="00977D02"/>
    <w:rsid w:val="009809BB"/>
    <w:rsid w:val="0098364B"/>
    <w:rsid w:val="0099061A"/>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A7588"/>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2680C"/>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3BEE"/>
    <w:rsid w:val="00A648CD"/>
    <w:rsid w:val="00A6537A"/>
    <w:rsid w:val="00A67866"/>
    <w:rsid w:val="00A70B07"/>
    <w:rsid w:val="00A723F8"/>
    <w:rsid w:val="00A74545"/>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3D41"/>
    <w:rsid w:val="00AD4126"/>
    <w:rsid w:val="00AD421C"/>
    <w:rsid w:val="00AD44FA"/>
    <w:rsid w:val="00AE070A"/>
    <w:rsid w:val="00AE101C"/>
    <w:rsid w:val="00AE37E5"/>
    <w:rsid w:val="00AE5EB4"/>
    <w:rsid w:val="00AE7763"/>
    <w:rsid w:val="00AF0C18"/>
    <w:rsid w:val="00AF47C5"/>
    <w:rsid w:val="00AF5398"/>
    <w:rsid w:val="00AF77EC"/>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359"/>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4B2B"/>
    <w:rsid w:val="00BC5DC7"/>
    <w:rsid w:val="00BC6B8B"/>
    <w:rsid w:val="00BC73D8"/>
    <w:rsid w:val="00BD52D7"/>
    <w:rsid w:val="00BD5AD2"/>
    <w:rsid w:val="00BE22F3"/>
    <w:rsid w:val="00BE5B52"/>
    <w:rsid w:val="00BE7B8D"/>
    <w:rsid w:val="00BF0993"/>
    <w:rsid w:val="00BF10A9"/>
    <w:rsid w:val="00BF1703"/>
    <w:rsid w:val="00BF231C"/>
    <w:rsid w:val="00BF4F84"/>
    <w:rsid w:val="00BF51E5"/>
    <w:rsid w:val="00BF74A6"/>
    <w:rsid w:val="00C013AD"/>
    <w:rsid w:val="00C04904"/>
    <w:rsid w:val="00C056B3"/>
    <w:rsid w:val="00C103E5"/>
    <w:rsid w:val="00C13319"/>
    <w:rsid w:val="00C13EE9"/>
    <w:rsid w:val="00C21540"/>
    <w:rsid w:val="00C21906"/>
    <w:rsid w:val="00C21BFA"/>
    <w:rsid w:val="00C21FE0"/>
    <w:rsid w:val="00C22148"/>
    <w:rsid w:val="00C24C8D"/>
    <w:rsid w:val="00C25FE2"/>
    <w:rsid w:val="00C26B53"/>
    <w:rsid w:val="00C279B2"/>
    <w:rsid w:val="00C33E50"/>
    <w:rsid w:val="00C34C20"/>
    <w:rsid w:val="00C35A3E"/>
    <w:rsid w:val="00C377B7"/>
    <w:rsid w:val="00C42130"/>
    <w:rsid w:val="00C423A4"/>
    <w:rsid w:val="00C44BF5"/>
    <w:rsid w:val="00C521D6"/>
    <w:rsid w:val="00C541CB"/>
    <w:rsid w:val="00C55232"/>
    <w:rsid w:val="00C553A4"/>
    <w:rsid w:val="00C55A06"/>
    <w:rsid w:val="00C55D03"/>
    <w:rsid w:val="00C601BC"/>
    <w:rsid w:val="00C6329F"/>
    <w:rsid w:val="00C63340"/>
    <w:rsid w:val="00C643F9"/>
    <w:rsid w:val="00C64E95"/>
    <w:rsid w:val="00C660D1"/>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07AB"/>
    <w:rsid w:val="00CD2808"/>
    <w:rsid w:val="00CD28BF"/>
    <w:rsid w:val="00CD4092"/>
    <w:rsid w:val="00CD4A20"/>
    <w:rsid w:val="00CD50A1"/>
    <w:rsid w:val="00CD519E"/>
    <w:rsid w:val="00CE0C4F"/>
    <w:rsid w:val="00CE30EA"/>
    <w:rsid w:val="00CE35E9"/>
    <w:rsid w:val="00CE3936"/>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1C3B"/>
    <w:rsid w:val="00D126F5"/>
    <w:rsid w:val="00D1489E"/>
    <w:rsid w:val="00D17521"/>
    <w:rsid w:val="00D20737"/>
    <w:rsid w:val="00D21E81"/>
    <w:rsid w:val="00D223DE"/>
    <w:rsid w:val="00D25E37"/>
    <w:rsid w:val="00D2661A"/>
    <w:rsid w:val="00D27582"/>
    <w:rsid w:val="00D27EC4"/>
    <w:rsid w:val="00D32719"/>
    <w:rsid w:val="00D33333"/>
    <w:rsid w:val="00D33457"/>
    <w:rsid w:val="00D352A2"/>
    <w:rsid w:val="00D376D9"/>
    <w:rsid w:val="00D4162B"/>
    <w:rsid w:val="00D4514F"/>
    <w:rsid w:val="00D451E2"/>
    <w:rsid w:val="00D45E89"/>
    <w:rsid w:val="00D45E8D"/>
    <w:rsid w:val="00D466AE"/>
    <w:rsid w:val="00D4734F"/>
    <w:rsid w:val="00D51BF3"/>
    <w:rsid w:val="00D64427"/>
    <w:rsid w:val="00D66846"/>
    <w:rsid w:val="00D67073"/>
    <w:rsid w:val="00D675FB"/>
    <w:rsid w:val="00D71F25"/>
    <w:rsid w:val="00D72A9C"/>
    <w:rsid w:val="00D77031"/>
    <w:rsid w:val="00D81266"/>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AC0"/>
    <w:rsid w:val="00DD6BCC"/>
    <w:rsid w:val="00DE0A4B"/>
    <w:rsid w:val="00DE2410"/>
    <w:rsid w:val="00DE2939"/>
    <w:rsid w:val="00DE6E81"/>
    <w:rsid w:val="00DE703F"/>
    <w:rsid w:val="00DE7595"/>
    <w:rsid w:val="00DF1961"/>
    <w:rsid w:val="00DF44DE"/>
    <w:rsid w:val="00DF5F11"/>
    <w:rsid w:val="00DF68F2"/>
    <w:rsid w:val="00E01138"/>
    <w:rsid w:val="00E02DFB"/>
    <w:rsid w:val="00E030F9"/>
    <w:rsid w:val="00E0311A"/>
    <w:rsid w:val="00E03138"/>
    <w:rsid w:val="00E06404"/>
    <w:rsid w:val="00E11A85"/>
    <w:rsid w:val="00E12495"/>
    <w:rsid w:val="00E15CCD"/>
    <w:rsid w:val="00E16D4F"/>
    <w:rsid w:val="00E202EF"/>
    <w:rsid w:val="00E210B5"/>
    <w:rsid w:val="00E23D99"/>
    <w:rsid w:val="00E2552F"/>
    <w:rsid w:val="00E3137A"/>
    <w:rsid w:val="00E32CCF"/>
    <w:rsid w:val="00E33F12"/>
    <w:rsid w:val="00E34A98"/>
    <w:rsid w:val="00E35D1E"/>
    <w:rsid w:val="00E364F9"/>
    <w:rsid w:val="00E365FA"/>
    <w:rsid w:val="00E36789"/>
    <w:rsid w:val="00E42A0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1CF3"/>
    <w:rsid w:val="00EE54A6"/>
    <w:rsid w:val="00EE613F"/>
    <w:rsid w:val="00EE6A3D"/>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3B5D"/>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3FC10167"/>
    <w:rsid w:val="5CA674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0" w:name="toc 8"/>
    <w:lsdException w:uiPriority="0" w:name="toc 9"/>
    <w:lsdException w:unhideWhenUsed="0" w:uiPriority="0" w:semiHidden="0" w:name="Normal Indent"/>
    <w:lsdException w:unhideWhenUsed="0" w:uiPriority="0"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35" w:name="caption"/>
    <w:lsdException w:unhideWhenUsed="0" w:uiPriority="0" w:name="table of figures"/>
    <w:lsdException w:uiPriority="99" w:name="envelope address"/>
    <w:lsdException w:uiPriority="99" w:name="envelope return"/>
    <w:lsdException w:unhideWhenUsed="0" w:uiPriority="0"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uiPriority w:val="39"/>
    <w:pPr>
      <w:tabs>
        <w:tab w:val="right" w:leader="dot" w:pos="9344"/>
      </w:tabs>
      <w:spacing w:line="300" w:lineRule="exact"/>
      <w:ind w:left="1259"/>
    </w:pPr>
    <w:rPr>
      <w:rFonts w:ascii="宋体"/>
    </w:rPr>
  </w:style>
  <w:style w:type="paragraph" w:styleId="12">
    <w:name w:val="Normal Indent"/>
    <w:basedOn w:val="1"/>
    <w:uiPriority w:val="0"/>
    <w:pPr>
      <w:ind w:firstLine="420"/>
    </w:pPr>
  </w:style>
  <w:style w:type="paragraph" w:styleId="13">
    <w:name w:val="Body Text"/>
    <w:basedOn w:val="1"/>
    <w:link w:val="86"/>
    <w:uiPriority w:val="0"/>
    <w:pPr>
      <w:spacing w:after="120"/>
    </w:pPr>
  </w:style>
  <w:style w:type="paragraph" w:styleId="14">
    <w:name w:val="toc 5"/>
    <w:basedOn w:val="1"/>
    <w:next w:val="1"/>
    <w:unhideWhenUsed/>
    <w:uiPriority w:val="39"/>
    <w:pPr>
      <w:ind w:left="839"/>
    </w:pPr>
    <w:rPr>
      <w:rFonts w:ascii="宋体"/>
    </w:rPr>
  </w:style>
  <w:style w:type="paragraph" w:styleId="15">
    <w:name w:val="toc 3"/>
    <w:basedOn w:val="1"/>
    <w:next w:val="1"/>
    <w:unhideWhenUsed/>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uiPriority w:val="99"/>
    <w:pPr>
      <w:tabs>
        <w:tab w:val="center" w:pos="4153"/>
        <w:tab w:val="right" w:pos="8306"/>
      </w:tabs>
      <w:adjustRightInd/>
      <w:snapToGrid w:val="0"/>
      <w:jc w:val="center"/>
    </w:pPr>
    <w:rPr>
      <w:sz w:val="18"/>
      <w:szCs w:val="18"/>
    </w:rPr>
  </w:style>
  <w:style w:type="paragraph" w:styleId="19">
    <w:name w:val="toc 1"/>
    <w:basedOn w:val="1"/>
    <w:next w:val="1"/>
    <w:unhideWhenUsed/>
    <w:uiPriority w:val="39"/>
    <w:rPr>
      <w:rFonts w:ascii="宋体"/>
    </w:rPr>
  </w:style>
  <w:style w:type="paragraph" w:styleId="20">
    <w:name w:val="toc 4"/>
    <w:basedOn w:val="1"/>
    <w:next w:val="1"/>
    <w:unhideWhenUsed/>
    <w:uiPriority w:val="39"/>
    <w:pPr>
      <w:tabs>
        <w:tab w:val="right" w:leader="dot" w:pos="9344"/>
      </w:tabs>
      <w:spacing w:line="300" w:lineRule="exact"/>
      <w:ind w:left="629"/>
    </w:pPr>
    <w:rPr>
      <w:rFonts w:ascii="宋体"/>
    </w:rPr>
  </w:style>
  <w:style w:type="paragraph" w:styleId="21">
    <w:name w:val="footnote text"/>
    <w:basedOn w:val="1"/>
    <w:next w:val="1"/>
    <w:link w:val="99"/>
    <w:semiHidden/>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uiPriority w:val="39"/>
    <w:pPr>
      <w:spacing w:line="300" w:lineRule="exact"/>
      <w:ind w:left="1049"/>
    </w:pPr>
    <w:rPr>
      <w:rFonts w:ascii="宋体"/>
    </w:rPr>
  </w:style>
  <w:style w:type="paragraph" w:styleId="23">
    <w:name w:val="table of figures"/>
    <w:basedOn w:val="1"/>
    <w:next w:val="1"/>
    <w:semiHidden/>
    <w:uiPriority w:val="0"/>
    <w:pPr>
      <w:adjustRightInd/>
      <w:spacing w:line="240" w:lineRule="auto"/>
      <w:jc w:val="left"/>
    </w:pPr>
    <w:rPr>
      <w:szCs w:val="24"/>
    </w:rPr>
  </w:style>
  <w:style w:type="paragraph" w:styleId="24">
    <w:name w:val="toc 2"/>
    <w:basedOn w:val="1"/>
    <w:next w:val="1"/>
    <w:unhideWhenUsed/>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uiPriority w:val="0"/>
    <w:rPr>
      <w:rFonts w:ascii="宋体" w:hAnsi="Times New Roman" w:eastAsia="宋体"/>
      <w:sz w:val="18"/>
    </w:rPr>
  </w:style>
  <w:style w:type="character" w:styleId="31">
    <w:name w:val="Emphasis"/>
    <w:qFormat/>
    <w:uiPriority w:val="20"/>
    <w:rPr>
      <w:i/>
      <w:iCs/>
    </w:rPr>
  </w:style>
  <w:style w:type="character" w:styleId="32">
    <w:name w:val="Hyperlink"/>
    <w:uiPriority w:val="99"/>
    <w:rPr>
      <w:rFonts w:ascii="宋体" w:hAnsi="Times New Roman" w:eastAsia="宋体"/>
      <w:color w:val="auto"/>
      <w:spacing w:val="0"/>
      <w:w w:val="100"/>
      <w:position w:val="0"/>
      <w:sz w:val="21"/>
      <w:u w:val="none"/>
      <w:vertAlign w:val="baseline"/>
    </w:rPr>
  </w:style>
  <w:style w:type="character" w:styleId="33">
    <w:name w:val="footnote reference"/>
    <w:semiHidden/>
    <w:uiPriority w:val="0"/>
    <w:rPr>
      <w:rFonts w:ascii="宋体" w:hAnsi="宋体" w:eastAsia="宋体" w:cs="Times New Roman"/>
      <w:spacing w:val="0"/>
      <w:sz w:val="18"/>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uiPriority w:val="0"/>
    <w:rPr>
      <w:rFonts w:ascii="Arial" w:hAnsi="Arial" w:eastAsia="黑体" w:cs="Times New Roman"/>
      <w:b/>
      <w:bCs/>
      <w:sz w:val="28"/>
      <w:szCs w:val="28"/>
    </w:rPr>
  </w:style>
  <w:style w:type="character" w:customStyle="1" w:styleId="38">
    <w:name w:val="标题 5 字符"/>
    <w:link w:val="6"/>
    <w:uiPriority w:val="0"/>
    <w:rPr>
      <w:rFonts w:ascii="Times New Roman" w:hAnsi="Times New Roman" w:eastAsia="宋体" w:cs="Times New Roman"/>
      <w:b/>
      <w:bCs/>
      <w:sz w:val="28"/>
      <w:szCs w:val="28"/>
    </w:rPr>
  </w:style>
  <w:style w:type="character" w:customStyle="1" w:styleId="39">
    <w:name w:val="标题 6 字符"/>
    <w:link w:val="7"/>
    <w:uiPriority w:val="0"/>
    <w:rPr>
      <w:rFonts w:ascii="Arial" w:hAnsi="Arial" w:eastAsia="黑体" w:cs="Times New Roman"/>
      <w:b/>
      <w:bCs/>
      <w:sz w:val="24"/>
      <w:szCs w:val="24"/>
    </w:rPr>
  </w:style>
  <w:style w:type="character" w:customStyle="1" w:styleId="40">
    <w:name w:val="标题 7 字符"/>
    <w:link w:val="8"/>
    <w:uiPriority w:val="0"/>
    <w:rPr>
      <w:rFonts w:ascii="Times New Roman" w:hAnsi="Times New Roman" w:eastAsia="宋体" w:cs="Times New Roman"/>
      <w:b/>
      <w:bCs/>
      <w:sz w:val="24"/>
      <w:szCs w:val="24"/>
    </w:rPr>
  </w:style>
  <w:style w:type="character" w:customStyle="1" w:styleId="41">
    <w:name w:val="标题 8 字符"/>
    <w:link w:val="9"/>
    <w:uiPriority w:val="0"/>
    <w:rPr>
      <w:rFonts w:ascii="Arial" w:hAnsi="Arial" w:eastAsia="黑体" w:cs="Times New Roman"/>
      <w:sz w:val="24"/>
      <w:szCs w:val="24"/>
    </w:rPr>
  </w:style>
  <w:style w:type="character" w:customStyle="1" w:styleId="42">
    <w:name w:val="标题 9 字符"/>
    <w:link w:val="10"/>
    <w:uiPriority w:val="0"/>
    <w:rPr>
      <w:rFonts w:ascii="Arial" w:hAnsi="Arial" w:eastAsia="黑体" w:cs="Times New Roman"/>
      <w:szCs w:val="21"/>
    </w:rPr>
  </w:style>
  <w:style w:type="character" w:customStyle="1" w:styleId="43">
    <w:name w:val="页眉 字符"/>
    <w:link w:val="18"/>
    <w:uiPriority w:val="99"/>
    <w:rPr>
      <w:rFonts w:ascii="Times New Roman" w:hAnsi="Times New Roman" w:eastAsia="宋体" w:cs="Times New Roman"/>
      <w:sz w:val="18"/>
      <w:szCs w:val="18"/>
    </w:rPr>
  </w:style>
  <w:style w:type="character" w:customStyle="1" w:styleId="44">
    <w:name w:val="页脚 字符"/>
    <w:link w:val="17"/>
    <w:uiPriority w:val="99"/>
    <w:rPr>
      <w:rFonts w:ascii="宋体" w:hAnsi="Times New Roman" w:eastAsia="宋体" w:cs="Times New Roman"/>
      <w:sz w:val="18"/>
      <w:szCs w:val="18"/>
    </w:rPr>
  </w:style>
  <w:style w:type="character" w:customStyle="1" w:styleId="45">
    <w:name w:val="批注框文本 字符"/>
    <w:link w:val="16"/>
    <w:semiHidden/>
    <w:uiPriority w:val="99"/>
    <w:rPr>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rPr>
  </w:style>
  <w:style w:type="character" w:customStyle="1" w:styleId="48">
    <w:name w:val="标题 字符"/>
    <w:link w:val="25"/>
    <w:uiPriority w:val="0"/>
    <w:rPr>
      <w:rFonts w:ascii="Arial" w:hAnsi="Arial" w:eastAsia="宋体" w:cs="Arial"/>
      <w:b/>
      <w:bCs/>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uiPriority w:val="0"/>
    <w:pPr>
      <w:ind w:right="227"/>
      <w:jc w:val="right"/>
    </w:pPr>
    <w:rPr>
      <w:rFonts w:ascii="宋体" w:hAnsi="Times New Roman" w:eastAsia="宋体" w:cs="Times New Roman"/>
      <w:sz w:val="18"/>
      <w:lang w:val="en-US" w:eastAsia="zh-CN" w:bidi="ar-SA"/>
    </w:rPr>
  </w:style>
  <w:style w:type="paragraph" w:customStyle="1" w:styleId="53">
    <w:name w:val="标准书眉一"/>
    <w:uiPriority w:val="0"/>
    <w:pPr>
      <w:jc w:val="both"/>
    </w:pPr>
    <w:rPr>
      <w:rFonts w:ascii="Times New Roman" w:hAnsi="Times New Roman" w:eastAsia="宋体" w:cs="Times New Roman"/>
      <w:lang w:val="en-US" w:eastAsia="zh-CN" w:bidi="ar-SA"/>
    </w:rPr>
  </w:style>
  <w:style w:type="paragraph" w:customStyle="1" w:styleId="54">
    <w:name w:val="标准文件_ICS"/>
    <w:basedOn w:val="1"/>
    <w:uiPriority w:val="0"/>
    <w:pPr>
      <w:spacing w:line="0" w:lineRule="atLeast"/>
    </w:pPr>
    <w:rPr>
      <w:rFonts w:ascii="黑体" w:hAnsi="宋体" w:eastAsia="黑体"/>
    </w:rPr>
  </w:style>
  <w:style w:type="paragraph" w:customStyle="1" w:styleId="55">
    <w:name w:val="标准文件_标准正文"/>
    <w:basedOn w:val="1"/>
    <w:next w:val="56"/>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uiPriority w:val="0"/>
    <w:pPr>
      <w:spacing w:line="310" w:lineRule="exact"/>
      <w:jc w:val="right"/>
    </w:pPr>
    <w:rPr>
      <w:rFonts w:ascii="宋体" w:hAnsi="宋体"/>
      <w:kern w:val="0"/>
    </w:rPr>
  </w:style>
  <w:style w:type="paragraph" w:customStyle="1" w:styleId="60">
    <w:name w:val="标准文件_标准名称标题"/>
    <w:basedOn w:val="1"/>
    <w:next w:val="1"/>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uiPriority w:val="0"/>
    <w:rPr>
      <w:rFonts w:ascii="黑体" w:eastAsia="黑体"/>
      <w:spacing w:val="0"/>
      <w:w w:val="100"/>
      <w:position w:val="3"/>
      <w:sz w:val="28"/>
    </w:rPr>
  </w:style>
  <w:style w:type="paragraph" w:customStyle="1" w:styleId="67">
    <w:name w:val="标准文件_方框数字列项"/>
    <w:basedOn w:val="56"/>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uiPriority w:val="0"/>
    <w:rPr>
      <w:rFonts w:ascii="黑体" w:eastAsia="黑体"/>
      <w:b/>
      <w:kern w:val="0"/>
      <w:sz w:val="28"/>
    </w:rPr>
  </w:style>
  <w:style w:type="paragraph" w:customStyle="1" w:styleId="70">
    <w:name w:val="标准文件_封面标准名称"/>
    <w:basedOn w:val="1"/>
    <w:uiPriority w:val="0"/>
    <w:pPr>
      <w:spacing w:line="240" w:lineRule="auto"/>
      <w:jc w:val="center"/>
    </w:pPr>
    <w:rPr>
      <w:rFonts w:ascii="黑体" w:eastAsia="黑体"/>
      <w:kern w:val="0"/>
      <w:sz w:val="52"/>
    </w:rPr>
  </w:style>
  <w:style w:type="paragraph" w:customStyle="1" w:styleId="71">
    <w:name w:val="标准文件_封面标准英文名称"/>
    <w:basedOn w:val="1"/>
    <w:uiPriority w:val="0"/>
    <w:pPr>
      <w:spacing w:line="240" w:lineRule="auto"/>
      <w:jc w:val="center"/>
    </w:pPr>
    <w:rPr>
      <w:rFonts w:ascii="黑体" w:eastAsia="黑体"/>
      <w:b/>
      <w:sz w:val="28"/>
    </w:rPr>
  </w:style>
  <w:style w:type="paragraph" w:customStyle="1" w:styleId="72">
    <w:name w:val="标准文件_封面发布日期"/>
    <w:basedOn w:val="1"/>
    <w:uiPriority w:val="0"/>
    <w:pPr>
      <w:spacing w:line="310" w:lineRule="exact"/>
    </w:pPr>
    <w:rPr>
      <w:rFonts w:ascii="黑体" w:eastAsia="黑体"/>
      <w:kern w:val="0"/>
      <w:sz w:val="28"/>
    </w:rPr>
  </w:style>
  <w:style w:type="paragraph" w:customStyle="1" w:styleId="73">
    <w:name w:val="标准文件_封面密级"/>
    <w:basedOn w:val="1"/>
    <w:uiPriority w:val="0"/>
    <w:rPr>
      <w:rFonts w:eastAsia="黑体"/>
      <w:sz w:val="32"/>
    </w:rPr>
  </w:style>
  <w:style w:type="paragraph" w:customStyle="1" w:styleId="74">
    <w:name w:val="标准文件_封面实施日期"/>
    <w:basedOn w:val="1"/>
    <w:uiPriority w:val="0"/>
    <w:pPr>
      <w:spacing w:line="310" w:lineRule="exact"/>
      <w:jc w:val="right"/>
    </w:pPr>
    <w:rPr>
      <w:rFonts w:ascii="黑体" w:eastAsia="黑体"/>
      <w:sz w:val="28"/>
    </w:rPr>
  </w:style>
  <w:style w:type="paragraph" w:customStyle="1" w:styleId="75">
    <w:name w:val="标准文件_封面抬头"/>
    <w:basedOn w:val="56"/>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uiPriority w:val="0"/>
    <w:rPr>
      <w:rFonts w:ascii="Times New Roman" w:hAnsi="Times New Roman" w:eastAsia="宋体" w:cs="Times New Roman"/>
      <w:szCs w:val="20"/>
    </w:rPr>
  </w:style>
  <w:style w:type="paragraph" w:customStyle="1" w:styleId="87">
    <w:name w:val="标准文件_附录章标题"/>
    <w:next w:val="56"/>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uiPriority w:val="0"/>
    <w:pPr>
      <w:spacing w:line="460" w:lineRule="exact"/>
    </w:pPr>
  </w:style>
  <w:style w:type="paragraph" w:customStyle="1" w:styleId="91">
    <w:name w:val="标准文件_目录标题"/>
    <w:basedOn w:val="1"/>
    <w:uiPriority w:val="0"/>
    <w:pPr>
      <w:spacing w:after="150" w:afterLines="150" w:line="240" w:lineRule="auto"/>
      <w:jc w:val="center"/>
    </w:pPr>
    <w:rPr>
      <w:rFonts w:ascii="黑体" w:eastAsia="黑体"/>
      <w:sz w:val="32"/>
    </w:rPr>
  </w:style>
  <w:style w:type="paragraph" w:customStyle="1" w:styleId="92">
    <w:name w:val="标准文件_破折号列项"/>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uiPriority w:val="0"/>
    <w:pPr>
      <w:numPr>
        <w:numId w:val="10"/>
      </w:numPr>
    </w:pPr>
  </w:style>
  <w:style w:type="paragraph" w:customStyle="1" w:styleId="94">
    <w:name w:val="标准文件_三级条标题"/>
    <w:basedOn w:val="65"/>
    <w:next w:val="56"/>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uiPriority w:val="0"/>
    <w:pPr>
      <w:adjustRightInd/>
      <w:spacing w:line="240" w:lineRule="auto"/>
      <w:ind w:firstLine="200" w:firstLineChars="200"/>
    </w:pPr>
    <w:rPr>
      <w:sz w:val="18"/>
      <w:szCs w:val="24"/>
    </w:rPr>
  </w:style>
  <w:style w:type="paragraph" w:customStyle="1" w:styleId="97">
    <w:name w:val="标准文件_数字编号列项"/>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uiPriority w:val="0"/>
    <w:rPr>
      <w:rFonts w:ascii="宋体" w:hAnsi="Times New Roman" w:eastAsia="宋体" w:cs="Times New Roman"/>
      <w:sz w:val="18"/>
      <w:szCs w:val="18"/>
    </w:rPr>
  </w:style>
  <w:style w:type="paragraph" w:customStyle="1" w:styleId="100">
    <w:name w:val="标准文件_条文脚注"/>
    <w:basedOn w:val="21"/>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uiPriority w:val="0"/>
    <w:pPr>
      <w:numPr>
        <w:ilvl w:val="0"/>
        <w:numId w:val="12"/>
      </w:numPr>
      <w:spacing w:line="240" w:lineRule="auto"/>
      <w:jc w:val="left"/>
    </w:pPr>
    <w:rPr>
      <w:rFonts w:ascii="宋体" w:hAnsi="宋体"/>
      <w:sz w:val="18"/>
    </w:rPr>
  </w:style>
  <w:style w:type="character" w:customStyle="1" w:styleId="102">
    <w:name w:val="标准文件_图表脚注内容"/>
    <w:uiPriority w:val="0"/>
    <w:rPr>
      <w:rFonts w:ascii="宋体" w:hAnsi="宋体" w:eastAsia="宋体" w:cs="Times New Roman"/>
      <w:spacing w:val="0"/>
      <w:sz w:val="18"/>
      <w:vertAlign w:val="superscript"/>
    </w:rPr>
  </w:style>
  <w:style w:type="paragraph" w:customStyle="1" w:styleId="103">
    <w:name w:val="标准文件_五级条标题"/>
    <w:next w:val="56"/>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uiPriority w:val="0"/>
    <w:pPr>
      <w:numPr>
        <w:ilvl w:val="2"/>
      </w:numPr>
      <w:spacing w:before="50" w:beforeLines="50" w:after="50" w:afterLines="50"/>
      <w:outlineLvl w:val="1"/>
    </w:pPr>
  </w:style>
  <w:style w:type="paragraph" w:customStyle="1" w:styleId="106">
    <w:name w:val="标准文件_一致程度"/>
    <w:basedOn w:val="1"/>
    <w:uiPriority w:val="0"/>
    <w:pPr>
      <w:spacing w:line="440" w:lineRule="exact"/>
      <w:jc w:val="center"/>
    </w:pPr>
    <w:rPr>
      <w:sz w:val="28"/>
    </w:rPr>
  </w:style>
  <w:style w:type="paragraph" w:customStyle="1" w:styleId="107">
    <w:name w:val="标准文件_引言标题"/>
    <w:next w:val="1"/>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uiPriority w:val="0"/>
    <w:pPr>
      <w:numPr>
        <w:ilvl w:val="3"/>
        <w:numId w:val="20"/>
      </w:numPr>
      <w:adjustRightInd/>
      <w:spacing w:line="240" w:lineRule="auto"/>
    </w:pPr>
    <w:rPr>
      <w:rFonts w:ascii="宋体" w:hAnsi="宋体"/>
      <w:szCs w:val="24"/>
    </w:rPr>
  </w:style>
  <w:style w:type="paragraph" w:customStyle="1" w:styleId="119">
    <w:name w:val="发布部门"/>
    <w:next w:val="56"/>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uiPriority w:val="0"/>
    <w:pPr>
      <w:outlineLvl w:val="4"/>
    </w:pPr>
  </w:style>
  <w:style w:type="paragraph" w:customStyle="1" w:styleId="130">
    <w:name w:val="附录四级无标题条"/>
    <w:basedOn w:val="129"/>
    <w:next w:val="56"/>
    <w:uiPriority w:val="0"/>
    <w:pPr>
      <w:outlineLvl w:val="5"/>
    </w:pPr>
  </w:style>
  <w:style w:type="paragraph" w:customStyle="1" w:styleId="131">
    <w:name w:val="附录图"/>
    <w:next w:val="56"/>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uiPriority w:val="0"/>
    <w:pPr>
      <w:autoSpaceDN w:val="0"/>
      <w:outlineLvl w:val="2"/>
    </w:pPr>
    <w:rPr>
      <w:rFonts w:ascii="宋体" w:hAnsi="宋体" w:eastAsia="宋体"/>
    </w:rPr>
  </w:style>
  <w:style w:type="character" w:customStyle="1" w:styleId="136">
    <w:name w:val="个人答复风格"/>
    <w:uiPriority w:val="0"/>
    <w:rPr>
      <w:rFonts w:ascii="Arial" w:hAnsi="Arial" w:eastAsia="宋体" w:cs="Arial"/>
      <w:color w:val="auto"/>
      <w:spacing w:val="0"/>
      <w:sz w:val="20"/>
    </w:rPr>
  </w:style>
  <w:style w:type="character" w:customStyle="1" w:styleId="137">
    <w:name w:val="个人撰写风格"/>
    <w:uiPriority w:val="0"/>
    <w:rPr>
      <w:rFonts w:ascii="Arial" w:hAnsi="Arial" w:eastAsia="宋体" w:cs="Arial"/>
      <w:color w:val="auto"/>
      <w:spacing w:val="0"/>
      <w:sz w:val="20"/>
    </w:rPr>
  </w:style>
  <w:style w:type="paragraph" w:customStyle="1" w:styleId="138">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semiHidden/>
    <w:uiPriority w:val="0"/>
    <w:pPr>
      <w:adjustRightInd/>
      <w:spacing w:line="240" w:lineRule="auto"/>
      <w:jc w:val="left"/>
    </w:pPr>
    <w:rPr>
      <w:bCs/>
      <w:iCs/>
    </w:rPr>
  </w:style>
  <w:style w:type="paragraph" w:customStyle="1" w:styleId="143">
    <w:name w:val="目录 31"/>
    <w:basedOn w:val="1"/>
    <w:next w:val="1"/>
    <w:semiHidden/>
    <w:uiPriority w:val="0"/>
    <w:pPr>
      <w:spacing w:line="240" w:lineRule="auto"/>
    </w:pPr>
    <w:rPr>
      <w:rFonts w:ascii="宋体" w:hAnsi="宋体"/>
      <w:iCs/>
    </w:rPr>
  </w:style>
  <w:style w:type="paragraph" w:customStyle="1" w:styleId="144">
    <w:name w:val="目录 41"/>
    <w:basedOn w:val="1"/>
    <w:next w:val="1"/>
    <w:semiHidden/>
    <w:uiPriority w:val="0"/>
    <w:pPr>
      <w:adjustRightInd/>
      <w:spacing w:line="240" w:lineRule="auto"/>
      <w:jc w:val="left"/>
    </w:pPr>
  </w:style>
  <w:style w:type="paragraph" w:customStyle="1" w:styleId="145">
    <w:name w:val="目录 51"/>
    <w:basedOn w:val="1"/>
    <w:next w:val="1"/>
    <w:semiHidden/>
    <w:uiPriority w:val="0"/>
    <w:pPr>
      <w:spacing w:line="240" w:lineRule="auto"/>
    </w:pPr>
    <w:rPr>
      <w:rFonts w:ascii="宋体" w:hAnsi="宋体"/>
    </w:rPr>
  </w:style>
  <w:style w:type="paragraph" w:customStyle="1" w:styleId="146">
    <w:name w:val="目录 61"/>
    <w:basedOn w:val="1"/>
    <w:next w:val="1"/>
    <w:semiHidden/>
    <w:uiPriority w:val="0"/>
    <w:pPr>
      <w:adjustRightInd/>
      <w:spacing w:line="240" w:lineRule="auto"/>
      <w:jc w:val="left"/>
    </w:pPr>
  </w:style>
  <w:style w:type="paragraph" w:customStyle="1" w:styleId="147">
    <w:name w:val="目录 71"/>
    <w:basedOn w:val="146"/>
    <w:semiHidden/>
    <w:uiPriority w:val="0"/>
    <w:pPr>
      <w:ind w:left="1260"/>
    </w:pPr>
  </w:style>
  <w:style w:type="paragraph" w:customStyle="1" w:styleId="148">
    <w:name w:val="目录 81"/>
    <w:basedOn w:val="147"/>
    <w:semiHidden/>
    <w:uiPriority w:val="0"/>
    <w:pPr>
      <w:ind w:left="1470"/>
    </w:pPr>
  </w:style>
  <w:style w:type="paragraph" w:customStyle="1" w:styleId="149">
    <w:name w:val="目录 91"/>
    <w:basedOn w:val="148"/>
    <w:semiHidden/>
    <w:uiPriority w:val="0"/>
    <w:pPr>
      <w:ind w:left="1680"/>
    </w:pPr>
  </w:style>
  <w:style w:type="paragraph" w:customStyle="1" w:styleId="150">
    <w:name w:val="其他标准称谓"/>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uiPriority w:val="0"/>
    <w:pPr>
      <w:framePr w:wrap="around"/>
      <w:spacing w:line="0" w:lineRule="atLeast"/>
    </w:pPr>
    <w:rPr>
      <w:rFonts w:ascii="黑体" w:eastAsia="黑体"/>
      <w:b w:val="0"/>
    </w:rPr>
  </w:style>
  <w:style w:type="paragraph" w:customStyle="1" w:styleId="152">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uiPriority w:val="0"/>
    <w:pPr>
      <w:numPr>
        <w:ilvl w:val="4"/>
        <w:numId w:val="20"/>
      </w:numPr>
      <w:adjustRightInd/>
      <w:spacing w:line="240" w:lineRule="auto"/>
    </w:pPr>
    <w:rPr>
      <w:rFonts w:ascii="宋体" w:hAnsi="宋体"/>
      <w:szCs w:val="24"/>
    </w:rPr>
  </w:style>
  <w:style w:type="paragraph" w:customStyle="1" w:styleId="154">
    <w:name w:val="实施日期"/>
    <w:basedOn w:val="120"/>
    <w:uiPriority w:val="0"/>
    <w:pPr>
      <w:framePr w:hSpace="0" w:wrap="around" w:xAlign="right"/>
      <w:jc w:val="right"/>
    </w:pPr>
  </w:style>
  <w:style w:type="paragraph" w:customStyle="1" w:styleId="155">
    <w:name w:val="四级无标题条"/>
    <w:basedOn w:val="1"/>
    <w:uiPriority w:val="0"/>
    <w:pPr>
      <w:numPr>
        <w:ilvl w:val="5"/>
        <w:numId w:val="20"/>
      </w:numPr>
      <w:adjustRightInd/>
      <w:spacing w:line="240" w:lineRule="auto"/>
    </w:pPr>
    <w:rPr>
      <w:rFonts w:ascii="宋体" w:hAnsi="宋体"/>
      <w:szCs w:val="24"/>
    </w:rPr>
  </w:style>
  <w:style w:type="paragraph" w:customStyle="1" w:styleId="156">
    <w:name w:val="文献分类号"/>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uiPriority w:val="0"/>
    <w:pPr>
      <w:jc w:val="both"/>
    </w:pPr>
    <w:rPr>
      <w:rFonts w:ascii="宋体" w:hAnsi="宋体" w:eastAsia="宋体" w:cs="Times New Roman"/>
      <w:sz w:val="21"/>
      <w:lang w:val="en-US" w:eastAsia="zh-CN" w:bidi="ar-SA"/>
    </w:rPr>
  </w:style>
  <w:style w:type="paragraph" w:customStyle="1" w:styleId="158">
    <w:name w:val="五级无标题条"/>
    <w:basedOn w:val="1"/>
    <w:uiPriority w:val="0"/>
    <w:pPr>
      <w:numPr>
        <w:ilvl w:val="6"/>
        <w:numId w:val="20"/>
      </w:numPr>
      <w:adjustRightInd/>
    </w:pPr>
    <w:rPr>
      <w:szCs w:val="24"/>
    </w:rPr>
  </w:style>
  <w:style w:type="paragraph" w:customStyle="1" w:styleId="159">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0">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uiPriority w:val="0"/>
    <w:rPr>
      <w:rFonts w:ascii="宋体" w:hAnsi="Times New Roman" w:eastAsia="宋体" w:cs="Times New Roman"/>
      <w:sz w:val="21"/>
      <w:lang w:val="en-US" w:eastAsia="zh-CN" w:bidi="ar-SA"/>
    </w:rPr>
  </w:style>
  <w:style w:type="paragraph" w:customStyle="1" w:styleId="172">
    <w:name w:val="标准文件_三级项"/>
    <w:basedOn w:val="1"/>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uiPriority w:val="0"/>
    <w:pPr>
      <w:framePr w:w="3997" w:h="471" w:hRule="exact" w:hSpace="0" w:vSpace="181" w:wrap="around" w:vAnchor="page" w:hAnchor="page" w:x="1419" w:y="14097"/>
    </w:pPr>
  </w:style>
  <w:style w:type="paragraph" w:customStyle="1" w:styleId="194">
    <w:name w:val="其他实施日期"/>
    <w:basedOn w:val="154"/>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1" Type="http://schemas.openxmlformats.org/officeDocument/2006/relationships/glossaryDocument" Target="glossary/document.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2.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1.jpeg"/><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45FF2561F2CB4B3EAAB0F7998EC45908"/>
        <w:style w:val=""/>
        <w:category>
          <w:name w:val="常规"/>
          <w:gallery w:val="placeholder"/>
        </w:category>
        <w:types>
          <w:type w:val="bbPlcHdr"/>
        </w:types>
        <w:behaviors>
          <w:behavior w:val="content"/>
        </w:behaviors>
        <w:description w:val=""/>
        <w:guid w:val="{88DC4340-156C-415A-BD89-3258DCDFA377}"/>
      </w:docPartPr>
      <w:docPartBody>
        <w:p>
          <w:pPr>
            <w:pStyle w:val="5"/>
          </w:pPr>
          <w:r>
            <w:rPr>
              <w:rStyle w:val="4"/>
              <w:rFonts w:hint="eastAsia"/>
            </w:rPr>
            <w:t>单击或点击此处输入文字。</w:t>
          </w:r>
        </w:p>
      </w:docPartBody>
    </w:docPart>
    <w:docPart>
      <w:docPartPr>
        <w:name w:val="9641EB80D8DF41B9BD5E6CEC11790EE8"/>
        <w:style w:val=""/>
        <w:category>
          <w:name w:val="常规"/>
          <w:gallery w:val="placeholder"/>
        </w:category>
        <w:types>
          <w:type w:val="bbPlcHdr"/>
        </w:types>
        <w:behaviors>
          <w:behavior w:val="content"/>
        </w:behaviors>
        <w:description w:val=""/>
        <w:guid w:val="{DD6B476F-89C0-4AAE-AD61-EA40E1E2BA98}"/>
      </w:docPartPr>
      <w:docPartBody>
        <w:p>
          <w:pPr>
            <w:pStyle w:val="6"/>
          </w:pPr>
          <w:r>
            <w:rPr>
              <w:rStyle w:val="4"/>
              <w:rFonts w:hint="eastAsia"/>
            </w:rPr>
            <w:t>选择一项。</w:t>
          </w:r>
        </w:p>
      </w:docPartBody>
    </w:docPart>
    <w:docPart>
      <w:docPartPr>
        <w:name w:val="5DD96CB565854643B2FF9185826FF409"/>
        <w:style w:val=""/>
        <w:category>
          <w:name w:val="常规"/>
          <w:gallery w:val="placeholder"/>
        </w:category>
        <w:types>
          <w:type w:val="bbPlcHdr"/>
        </w:types>
        <w:behaviors>
          <w:behavior w:val="content"/>
        </w:behaviors>
        <w:description w:val=""/>
        <w:guid w:val="{FFED8F84-7AD1-47F8-98EE-B61391FF627C}"/>
      </w:docPartPr>
      <w:docPartBody>
        <w:p>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2FD2"/>
    <w:rsid w:val="00CF1FC6"/>
    <w:rsid w:val="00E07BF7"/>
    <w:rsid w:val="00FB2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45FF2561F2CB4B3EAAB0F7998EC4590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9641EB80D8DF41B9BD5E6CEC11790EE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5DD96CB565854643B2FF9185826FF409"/>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51EF73D-4A18-4DC4-92AD-9A8E6783CED4}">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8</Pages>
  <Words>2257</Words>
  <Characters>2822</Characters>
  <Lines>470</Lines>
  <Paragraphs>423</Paragraphs>
  <TotalTime>7</TotalTime>
  <ScaleCrop>false</ScaleCrop>
  <LinksUpToDate>false</LinksUpToDate>
  <CharactersWithSpaces>4656</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2022-01-28T20:11:00Z</dcterms:created>
  <dc:creator>BKing Chen</dc:creator>
  <dc:description>&lt;config cover="true" show_menu="true" version="1.0.0" doctype="SDKXY"&gt;_x000d_
&lt;/config&gt;</dc:description>
  <cp:lastModifiedBy>Administrator</cp:lastModifiedBy>
  <cp:lastPrinted>2022-01-28T20:11:00Z</cp:lastPrinted>
  <dcterms:modified xsi:type="dcterms:W3CDTF">2023-04-27T11:30:19Z</dcterms:modified>
  <dc:title>地方标准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2052-11.8.2.11500</vt:lpwstr>
  </property>
  <property fmtid="{D5CDD505-2E9C-101B-9397-08002B2CF9AE}" pid="15" name="ICV">
    <vt:lpwstr>A4DCF79237A14FA1AFB3092A185B5852</vt:lpwstr>
  </property>
</Properties>
</file>